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ED3" w:rsidRPr="00B519A9" w:rsidRDefault="00071073" w:rsidP="00B519A9">
      <w:pPr>
        <w:pStyle w:val="Tytu1"/>
      </w:pPr>
      <w:r w:rsidRPr="00B519A9">
        <w:t>Contribution title</w:t>
      </w:r>
    </w:p>
    <w:p w:rsidR="00071073" w:rsidRDefault="00071073" w:rsidP="00071073">
      <w:pPr>
        <w:pStyle w:val="author"/>
      </w:pPr>
      <w:r>
        <w:t>Author1</w:t>
      </w:r>
      <w:r w:rsidR="00F00D5A">
        <w:rPr>
          <w:rStyle w:val="Odwoanieprzypisudolnego"/>
        </w:rPr>
        <w:footnoteReference w:id="1"/>
      </w:r>
      <w:r>
        <w:t xml:space="preserve">, </w:t>
      </w:r>
      <w:proofErr w:type="gramStart"/>
      <w:r>
        <w:t>Author2</w:t>
      </w:r>
      <w:r w:rsidR="007C5BE7" w:rsidRPr="007C5BE7">
        <w:rPr>
          <w:vertAlign w:val="superscript"/>
        </w:rPr>
        <w:t>1</w:t>
      </w:r>
      <w:r>
        <w:t xml:space="preserve"> ,</w:t>
      </w:r>
      <w:proofErr w:type="gramEnd"/>
      <w:r>
        <w:t xml:space="preserve"> </w:t>
      </w:r>
      <w:r w:rsidRPr="00071073">
        <w:t>Author</w:t>
      </w:r>
      <w:r>
        <w:t>3</w:t>
      </w:r>
      <w:r w:rsidR="00F00D5A">
        <w:rPr>
          <w:rStyle w:val="Odwoanieprzypisudolnego"/>
        </w:rPr>
        <w:footnoteReference w:id="2"/>
      </w:r>
    </w:p>
    <w:p w:rsidR="00071073" w:rsidRDefault="00071073" w:rsidP="00071073">
      <w:pPr>
        <w:pStyle w:val="abstract"/>
      </w:pPr>
      <w:r w:rsidRPr="00071073">
        <w:rPr>
          <w:b/>
        </w:rPr>
        <w:t>Abstract  </w:t>
      </w:r>
      <w:r>
        <w:rPr>
          <w:b/>
        </w:rPr>
        <w:t xml:space="preserve"> </w:t>
      </w:r>
      <w:r w:rsidRPr="00071073">
        <w:t xml:space="preserve"> Each chapter should be preceded by an abstract (10–15 lines long) that summarizes the content. The abstract will appear online at www.SpringerLink.com and be available with unrestricted access. This allows unregistered users to read the abstract as a teaser for the complete chapter. As a general rule the abstracts will not appear in t</w:t>
      </w:r>
      <w:r w:rsidR="00B8390B">
        <w:t>he printed version of a</w:t>
      </w:r>
      <w:r w:rsidR="0004082B">
        <w:t xml:space="preserve"> book.</w:t>
      </w:r>
    </w:p>
    <w:p w:rsidR="00071073" w:rsidRDefault="00071073" w:rsidP="00071073">
      <w:pPr>
        <w:pStyle w:val="heading1"/>
      </w:pPr>
      <w:r>
        <w:t xml:space="preserve">1 </w:t>
      </w:r>
      <w:r w:rsidRPr="00071073">
        <w:t>Introduction</w:t>
      </w:r>
    </w:p>
    <w:p w:rsidR="00071073" w:rsidRDefault="00071073" w:rsidP="00071073">
      <w:pPr>
        <w:pStyle w:val="p1a"/>
      </w:pPr>
      <w:r w:rsidRPr="00071073">
        <w:t>XXXVI School of Hydraulics, similarly to previous events, is intended to provide a forum for scientists and engineers working in the field of broadly understood hydraulics. By bringing together experts (academics and practitioners) as well as young scientists, we hope to create a very good atmosphere for scientific debate and learning, and also to make this occasion an enjoyable experience for all participants.</w:t>
      </w:r>
    </w:p>
    <w:p w:rsidR="00071073" w:rsidRDefault="007657BF" w:rsidP="007657BF">
      <w:r w:rsidRPr="00E234A0">
        <w:t xml:space="preserve">The XXXVI International School of Hydraulics will take place at the Windsor Palace hotel. Surrounded by forest complexes, the hotel is situated in </w:t>
      </w:r>
      <w:proofErr w:type="spellStart"/>
      <w:r w:rsidRPr="00E234A0">
        <w:t>Jachranka</w:t>
      </w:r>
      <w:proofErr w:type="spellEnd"/>
      <w:r w:rsidRPr="00E234A0">
        <w:t xml:space="preserve"> village on the very shore of </w:t>
      </w:r>
      <w:proofErr w:type="spellStart"/>
      <w:r w:rsidRPr="00E234A0">
        <w:t>Zegrze</w:t>
      </w:r>
      <w:proofErr w:type="spellEnd"/>
      <w:r w:rsidRPr="00E234A0">
        <w:t xml:space="preserve"> Reservoir, about 35 km from the center of WARSAW.</w:t>
      </w:r>
    </w:p>
    <w:p w:rsidR="00F00D5A" w:rsidRDefault="00F00D5A" w:rsidP="00F00D5A">
      <w:r w:rsidRPr="00B519A9">
        <w:t xml:space="preserve">XXXIV International School of Hydraulics is organized by the Institute of Geophysics, Polish Academy of Sciences </w:t>
      </w:r>
      <w:hyperlink r:id="rId8" w:tgtFrame="_blank" w:tooltip="Institute of Geophysics, Polish Academy of Sciences" w:history="1">
        <w:r w:rsidRPr="00B519A9">
          <w:rPr>
            <w:rStyle w:val="Hipercze"/>
            <w:color w:val="auto"/>
            <w:u w:val="none"/>
          </w:rPr>
          <w:t>(IGF)</w:t>
        </w:r>
      </w:hyperlink>
      <w:r w:rsidRPr="00B519A9">
        <w:t xml:space="preserve"> under the auspices of the International Association of Hydro- Environment Engineering and Research </w:t>
      </w:r>
      <w:hyperlink r:id="rId9" w:tgtFrame="_blank" w:tooltip="International Association of Hydraulic Engineering and Research" w:history="1">
        <w:r w:rsidRPr="00B519A9">
          <w:rPr>
            <w:rStyle w:val="Hipercze"/>
            <w:color w:val="auto"/>
            <w:u w:val="none"/>
          </w:rPr>
          <w:t>(IAHR)</w:t>
        </w:r>
      </w:hyperlink>
      <w:r w:rsidRPr="00B519A9">
        <w:t xml:space="preserve"> and the</w:t>
      </w:r>
      <w:r>
        <w:t xml:space="preserve"> </w:t>
      </w:r>
      <w:r w:rsidRPr="00B519A9">
        <w:t xml:space="preserve">Committee for Water Resources Management of the Polish Academy of Sciences </w:t>
      </w:r>
      <w:hyperlink r:id="rId10" w:tgtFrame="_blank" w:tooltip="Water Resources Management of the Polish Academy of Sciences" w:history="1">
        <w:r w:rsidRPr="00B519A9">
          <w:rPr>
            <w:rStyle w:val="Hipercze"/>
            <w:color w:val="auto"/>
            <w:u w:val="none"/>
          </w:rPr>
          <w:t>(KGW)</w:t>
        </w:r>
      </w:hyperlink>
      <w:r w:rsidRPr="00B519A9">
        <w:t>. Traditionally the School gathers many researchers from various countries, among them the European leaders in the field of hydraulics.</w:t>
      </w:r>
    </w:p>
    <w:p w:rsidR="007657BF" w:rsidRDefault="007657BF" w:rsidP="00B519A9">
      <w:pPr>
        <w:pStyle w:val="heading1"/>
      </w:pPr>
      <w:r w:rsidRPr="00B519A9">
        <w:lastRenderedPageBreak/>
        <w:t>2</w:t>
      </w:r>
      <w:r w:rsidR="006B12A4">
        <w:t xml:space="preserve"> Instructions for authors</w:t>
      </w:r>
    </w:p>
    <w:p w:rsidR="00972210" w:rsidRDefault="00F00D5A" w:rsidP="002C5E64">
      <w:pPr>
        <w:pStyle w:val="heading2"/>
      </w:pPr>
      <w:r>
        <w:t>2.1</w:t>
      </w:r>
      <w:r w:rsidR="002C5E64">
        <w:t xml:space="preserve"> </w:t>
      </w:r>
      <w:r w:rsidR="00306BEE">
        <w:t>References</w:t>
      </w:r>
    </w:p>
    <w:p w:rsidR="00306BEE" w:rsidRPr="00306BEE" w:rsidRDefault="002D0ED1" w:rsidP="00306BEE">
      <w:pPr>
        <w:pStyle w:val="p1a"/>
      </w:pPr>
      <w:r>
        <w:t>References in the te</w:t>
      </w:r>
      <w:r w:rsidR="00306BEE">
        <w:t>xt should consist of the Author</w:t>
      </w:r>
      <w:r w:rsidR="007C5BE7">
        <w:t>s last names</w:t>
      </w:r>
      <w:r>
        <w:t xml:space="preserve"> followed by year of publication in parentheses. </w:t>
      </w:r>
      <w:r w:rsidR="00306BEE">
        <w:t>For two aut</w:t>
      </w:r>
      <w:r w:rsidR="007C5BE7">
        <w:t>hors, please give their last names</w:t>
      </w:r>
      <w:r w:rsidR="00306BEE">
        <w:t xml:space="preserve"> separated by “and”. </w:t>
      </w:r>
      <w:r>
        <w:t xml:space="preserve">If more than two authors, please give the first author’s name followed by “et al.” and year, </w:t>
      </w:r>
      <w:r w:rsidR="00306BEE">
        <w:t>e.g. (</w:t>
      </w:r>
      <w:proofErr w:type="spellStart"/>
      <w:r w:rsidR="00306BEE">
        <w:t>Ghimire</w:t>
      </w:r>
      <w:proofErr w:type="spellEnd"/>
      <w:r w:rsidR="00306BEE">
        <w:t xml:space="preserve"> and Deng 2013; Parker et al. 2003)</w:t>
      </w:r>
      <w:r>
        <w:t xml:space="preserve">.  </w:t>
      </w:r>
      <w:r w:rsidR="009B05E4">
        <w:t xml:space="preserve">Please use </w:t>
      </w:r>
      <w:r w:rsidR="00306BEE">
        <w:t xml:space="preserve">the following format when necessary: </w:t>
      </w:r>
      <w:proofErr w:type="spellStart"/>
      <w:r w:rsidR="00306BEE">
        <w:t>Ghimire</w:t>
      </w:r>
      <w:proofErr w:type="spellEnd"/>
      <w:r w:rsidR="00306BEE">
        <w:t xml:space="preserve"> and Deng (2013), Parker et al. (2003).</w:t>
      </w:r>
    </w:p>
    <w:p w:rsidR="002D0ED1" w:rsidRPr="002D0ED1" w:rsidRDefault="002D0ED1" w:rsidP="00306BEE">
      <w:r>
        <w:t>All references cited in the text must be included in the reference list at the end of the paper. References should appear in alphabetical order at the end of the paper.</w:t>
      </w:r>
    </w:p>
    <w:p w:rsidR="00B519A9" w:rsidRDefault="00F00D5A" w:rsidP="002C5E64">
      <w:pPr>
        <w:pStyle w:val="heading2"/>
      </w:pPr>
      <w:r>
        <w:t>2.2</w:t>
      </w:r>
      <w:r w:rsidR="002C5E64">
        <w:t xml:space="preserve"> </w:t>
      </w:r>
      <w:r w:rsidR="00972210">
        <w:t>Figures</w:t>
      </w:r>
      <w:r w:rsidR="002D0ED1">
        <w:t xml:space="preserve"> and tables</w:t>
      </w:r>
    </w:p>
    <w:p w:rsidR="002D0ED1" w:rsidRDefault="002C5E64" w:rsidP="002B4A13">
      <w:pPr>
        <w:pStyle w:val="p1a"/>
      </w:pPr>
      <w:r>
        <w:t>Figures should be</w:t>
      </w:r>
      <w:r w:rsidR="002B4A13">
        <w:t xml:space="preserve"> prepared</w:t>
      </w:r>
      <w:r>
        <w:t xml:space="preserve"> at least in 350 dpi resolution. </w:t>
      </w:r>
      <w:r w:rsidR="00993871">
        <w:t xml:space="preserve">Please use </w:t>
      </w:r>
      <w:r w:rsidR="009B05E4">
        <w:t>c</w:t>
      </w:r>
      <w:r w:rsidR="002B4A13">
        <w:t xml:space="preserve">olor </w:t>
      </w:r>
      <w:r w:rsidR="009B05E4">
        <w:t>figures if necessary</w:t>
      </w:r>
      <w:r>
        <w:t>.</w:t>
      </w:r>
    </w:p>
    <w:p w:rsidR="002C5E64" w:rsidRPr="002D0ED1" w:rsidRDefault="002D0ED1" w:rsidP="002D0ED1">
      <w:pPr>
        <w:pStyle w:val="Nagwek"/>
      </w:pPr>
      <w:r>
        <w:t xml:space="preserve">Textural content of a figure should be large enough – at least the font size of figure caption. Figure legends should be simple. </w:t>
      </w:r>
      <w:r w:rsidR="002B4A13">
        <w:t>Different line styles or colors should be used in the plots with multiple lines.</w:t>
      </w:r>
      <w:r w:rsidR="002C5E64">
        <w:t xml:space="preserve"> </w:t>
      </w:r>
      <w:r w:rsidR="002B4A13" w:rsidRPr="002D0ED1">
        <w:rPr>
          <w:b/>
        </w:rPr>
        <w:t>Please make sure that you</w:t>
      </w:r>
      <w:r w:rsidRPr="002D0ED1">
        <w:rPr>
          <w:b/>
        </w:rPr>
        <w:t>r figures are clearly readable. Figures of poor quality will not be accepted.</w:t>
      </w:r>
    </w:p>
    <w:p w:rsidR="00972210" w:rsidRDefault="002C5E64" w:rsidP="002B4A13">
      <w:r>
        <w:t xml:space="preserve">All figures must be cited in the text. When referred to in the text, figure should be cited as Fig. 1, Figs. 3-5; if the word “Figure” begins a sentence, it should be written out in full. </w:t>
      </w:r>
    </w:p>
    <w:p w:rsidR="00972210" w:rsidRDefault="00972210" w:rsidP="002D0ED1">
      <w:pPr>
        <w:ind w:firstLine="0"/>
      </w:pPr>
    </w:p>
    <w:p w:rsidR="00B519A9" w:rsidRPr="00B519A9" w:rsidRDefault="00917A68" w:rsidP="00B519A9">
      <w:pPr>
        <w:pStyle w:val="figlegend"/>
        <w:jc w:val="center"/>
        <w:rPr>
          <w:noProof/>
        </w:rPr>
      </w:pPr>
      <w:r>
        <w:rPr>
          <w:noProof/>
          <w:lang w:eastAsia="en-US"/>
        </w:rPr>
        <w:drawing>
          <wp:inline distT="0" distB="0" distL="0" distR="0" wp14:anchorId="317A7B74" wp14:editId="42DEDB8B">
            <wp:extent cx="4211955" cy="115951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1955" cy="1159510"/>
                    </a:xfrm>
                    <a:prstGeom prst="rect">
                      <a:avLst/>
                    </a:prstGeom>
                  </pic:spPr>
                </pic:pic>
              </a:graphicData>
            </a:graphic>
          </wp:inline>
        </w:drawing>
      </w:r>
    </w:p>
    <w:p w:rsidR="007657BF" w:rsidRDefault="00B519A9" w:rsidP="00B519A9">
      <w:pPr>
        <w:pStyle w:val="figlegend"/>
      </w:pPr>
      <w:r w:rsidRPr="00B519A9">
        <w:rPr>
          <w:b/>
        </w:rPr>
        <w:t>Fig. 1</w:t>
      </w:r>
      <w:r>
        <w:t xml:space="preserve"> Figure caption.</w:t>
      </w:r>
    </w:p>
    <w:p w:rsidR="00917A68" w:rsidRPr="00917A68" w:rsidRDefault="00917A68" w:rsidP="00917A68"/>
    <w:p w:rsidR="002D0ED1" w:rsidRPr="002D0ED1" w:rsidRDefault="002D0ED1" w:rsidP="002D0ED1">
      <w:r>
        <w:t>Please use the following table template:</w:t>
      </w:r>
    </w:p>
    <w:p w:rsidR="00765AD1" w:rsidRPr="00765AD1" w:rsidRDefault="00765AD1" w:rsidP="00765AD1">
      <w:pPr>
        <w:pStyle w:val="tablelegend"/>
      </w:pPr>
      <w:r w:rsidRPr="00765AD1">
        <w:rPr>
          <w:b/>
        </w:rPr>
        <w:lastRenderedPageBreak/>
        <w:t>Table 1</w:t>
      </w:r>
      <w:r w:rsidRPr="00765AD1">
        <w:t xml:space="preserve"> Table title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26"/>
        <w:gridCol w:w="1327"/>
        <w:gridCol w:w="1327"/>
        <w:gridCol w:w="1327"/>
      </w:tblGrid>
      <w:tr w:rsidR="00765AD1" w:rsidRPr="007127A4" w:rsidTr="00401A1F">
        <w:tc>
          <w:tcPr>
            <w:tcW w:w="1326" w:type="dxa"/>
            <w:tcBorders>
              <w:top w:val="single" w:sz="12" w:space="0" w:color="auto"/>
              <w:left w:val="nil"/>
              <w:bottom w:val="single" w:sz="12" w:space="0" w:color="auto"/>
              <w:right w:val="nil"/>
            </w:tcBorders>
            <w:shd w:val="clear" w:color="auto" w:fill="auto"/>
          </w:tcPr>
          <w:p w:rsidR="00765AD1" w:rsidRPr="007127A4" w:rsidRDefault="00765AD1" w:rsidP="00765AD1">
            <w:pPr>
              <w:pStyle w:val="table"/>
            </w:pPr>
            <w:r>
              <w:t>Column1</w:t>
            </w:r>
            <w:r w:rsidRPr="007127A4">
              <w:tab/>
            </w:r>
          </w:p>
        </w:tc>
        <w:tc>
          <w:tcPr>
            <w:tcW w:w="1326" w:type="dxa"/>
            <w:tcBorders>
              <w:top w:val="single" w:sz="12" w:space="0" w:color="auto"/>
              <w:left w:val="nil"/>
              <w:bottom w:val="single" w:sz="12" w:space="0" w:color="auto"/>
              <w:right w:val="nil"/>
            </w:tcBorders>
            <w:shd w:val="clear" w:color="auto" w:fill="auto"/>
          </w:tcPr>
          <w:p w:rsidR="00765AD1" w:rsidRPr="007127A4" w:rsidRDefault="00765AD1" w:rsidP="00765AD1">
            <w:pPr>
              <w:pStyle w:val="table"/>
            </w:pPr>
            <w:r>
              <w:t>Column2</w:t>
            </w:r>
          </w:p>
        </w:tc>
        <w:tc>
          <w:tcPr>
            <w:tcW w:w="1327" w:type="dxa"/>
            <w:tcBorders>
              <w:top w:val="single" w:sz="12" w:space="0" w:color="auto"/>
              <w:left w:val="nil"/>
              <w:bottom w:val="single" w:sz="12" w:space="0" w:color="auto"/>
              <w:right w:val="nil"/>
            </w:tcBorders>
            <w:shd w:val="clear" w:color="auto" w:fill="auto"/>
          </w:tcPr>
          <w:p w:rsidR="00765AD1" w:rsidRPr="007127A4" w:rsidRDefault="00765AD1" w:rsidP="00765AD1">
            <w:pPr>
              <w:pStyle w:val="table"/>
            </w:pPr>
            <w:r>
              <w:t>Column3</w:t>
            </w:r>
            <w:r w:rsidRPr="007127A4">
              <w:tab/>
            </w:r>
          </w:p>
        </w:tc>
        <w:tc>
          <w:tcPr>
            <w:tcW w:w="1327" w:type="dxa"/>
            <w:tcBorders>
              <w:top w:val="single" w:sz="12" w:space="0" w:color="auto"/>
              <w:left w:val="nil"/>
              <w:bottom w:val="single" w:sz="12" w:space="0" w:color="auto"/>
              <w:right w:val="nil"/>
            </w:tcBorders>
            <w:shd w:val="clear" w:color="auto" w:fill="auto"/>
          </w:tcPr>
          <w:p w:rsidR="00765AD1" w:rsidRPr="007127A4" w:rsidRDefault="00765AD1" w:rsidP="00765AD1">
            <w:pPr>
              <w:pStyle w:val="table"/>
            </w:pPr>
            <w:r>
              <w:t>Column4</w:t>
            </w:r>
            <w:r w:rsidRPr="007127A4">
              <w:tab/>
            </w:r>
          </w:p>
        </w:tc>
        <w:tc>
          <w:tcPr>
            <w:tcW w:w="1327" w:type="dxa"/>
            <w:tcBorders>
              <w:top w:val="single" w:sz="12" w:space="0" w:color="auto"/>
              <w:left w:val="nil"/>
              <w:bottom w:val="single" w:sz="12" w:space="0" w:color="auto"/>
              <w:right w:val="nil"/>
            </w:tcBorders>
            <w:shd w:val="clear" w:color="auto" w:fill="auto"/>
          </w:tcPr>
          <w:p w:rsidR="00765AD1" w:rsidRPr="007127A4" w:rsidRDefault="00765AD1" w:rsidP="00765AD1">
            <w:pPr>
              <w:pStyle w:val="table"/>
            </w:pPr>
            <w:r>
              <w:t>Column5</w:t>
            </w:r>
          </w:p>
        </w:tc>
      </w:tr>
      <w:tr w:rsidR="00765AD1" w:rsidRPr="007127A4" w:rsidTr="00401A1F">
        <w:tc>
          <w:tcPr>
            <w:tcW w:w="1326" w:type="dxa"/>
            <w:tcBorders>
              <w:top w:val="single" w:sz="12" w:space="0" w:color="auto"/>
              <w:left w:val="nil"/>
              <w:bottom w:val="nil"/>
              <w:right w:val="nil"/>
            </w:tcBorders>
            <w:shd w:val="clear" w:color="auto" w:fill="auto"/>
          </w:tcPr>
          <w:p w:rsidR="00765AD1" w:rsidRPr="009E78FB" w:rsidRDefault="00765AD1" w:rsidP="00765AD1">
            <w:pPr>
              <w:pStyle w:val="table"/>
            </w:pPr>
            <w:r w:rsidRPr="009E78FB">
              <w:t>Row1</w:t>
            </w:r>
          </w:p>
        </w:tc>
        <w:tc>
          <w:tcPr>
            <w:tcW w:w="1326" w:type="dxa"/>
            <w:tcBorders>
              <w:top w:val="single" w:sz="12" w:space="0" w:color="auto"/>
              <w:left w:val="nil"/>
              <w:bottom w:val="nil"/>
              <w:right w:val="nil"/>
            </w:tcBorders>
            <w:shd w:val="clear" w:color="auto" w:fill="auto"/>
          </w:tcPr>
          <w:p w:rsidR="00765AD1" w:rsidRPr="007127A4" w:rsidRDefault="00765AD1" w:rsidP="00765AD1">
            <w:pPr>
              <w:pStyle w:val="table"/>
            </w:pPr>
            <w:r>
              <w:t>value</w:t>
            </w:r>
          </w:p>
        </w:tc>
        <w:tc>
          <w:tcPr>
            <w:tcW w:w="1327" w:type="dxa"/>
            <w:tcBorders>
              <w:top w:val="single" w:sz="12" w:space="0" w:color="auto"/>
              <w:left w:val="nil"/>
              <w:bottom w:val="nil"/>
              <w:right w:val="nil"/>
            </w:tcBorders>
            <w:shd w:val="clear" w:color="auto" w:fill="auto"/>
          </w:tcPr>
          <w:p w:rsidR="00765AD1" w:rsidRPr="007127A4" w:rsidRDefault="00765AD1" w:rsidP="00765AD1">
            <w:pPr>
              <w:pStyle w:val="table"/>
            </w:pPr>
            <w:r>
              <w:t>value</w:t>
            </w:r>
          </w:p>
        </w:tc>
        <w:tc>
          <w:tcPr>
            <w:tcW w:w="1327" w:type="dxa"/>
            <w:tcBorders>
              <w:top w:val="single" w:sz="12" w:space="0" w:color="auto"/>
              <w:left w:val="nil"/>
              <w:bottom w:val="nil"/>
              <w:right w:val="nil"/>
            </w:tcBorders>
            <w:shd w:val="clear" w:color="auto" w:fill="auto"/>
          </w:tcPr>
          <w:p w:rsidR="00765AD1" w:rsidRPr="007127A4" w:rsidRDefault="00765AD1" w:rsidP="00765AD1">
            <w:pPr>
              <w:pStyle w:val="table"/>
            </w:pPr>
            <w:r>
              <w:t>value</w:t>
            </w:r>
          </w:p>
        </w:tc>
        <w:tc>
          <w:tcPr>
            <w:tcW w:w="1327" w:type="dxa"/>
            <w:tcBorders>
              <w:top w:val="single" w:sz="12" w:space="0" w:color="auto"/>
              <w:left w:val="nil"/>
              <w:bottom w:val="nil"/>
              <w:right w:val="nil"/>
            </w:tcBorders>
            <w:shd w:val="clear" w:color="auto" w:fill="auto"/>
          </w:tcPr>
          <w:p w:rsidR="00765AD1" w:rsidRPr="007127A4" w:rsidRDefault="00765AD1" w:rsidP="00765AD1">
            <w:pPr>
              <w:pStyle w:val="table"/>
            </w:pPr>
            <w:r>
              <w:t>value</w:t>
            </w:r>
          </w:p>
        </w:tc>
      </w:tr>
      <w:tr w:rsidR="00765AD1" w:rsidRPr="007127A4" w:rsidTr="00401A1F">
        <w:tc>
          <w:tcPr>
            <w:tcW w:w="1326" w:type="dxa"/>
            <w:tcBorders>
              <w:top w:val="nil"/>
              <w:left w:val="nil"/>
              <w:bottom w:val="nil"/>
              <w:right w:val="nil"/>
            </w:tcBorders>
            <w:shd w:val="clear" w:color="auto" w:fill="auto"/>
          </w:tcPr>
          <w:p w:rsidR="00765AD1" w:rsidRPr="007127A4" w:rsidRDefault="00765AD1" w:rsidP="00765AD1">
            <w:pPr>
              <w:pStyle w:val="table"/>
            </w:pPr>
            <w:r w:rsidRPr="009E78FB">
              <w:t>Row</w:t>
            </w:r>
            <w:r>
              <w:t>2</w:t>
            </w:r>
          </w:p>
        </w:tc>
        <w:tc>
          <w:tcPr>
            <w:tcW w:w="1326" w:type="dxa"/>
            <w:tcBorders>
              <w:top w:val="nil"/>
              <w:left w:val="nil"/>
              <w:bottom w:val="nil"/>
              <w:right w:val="nil"/>
            </w:tcBorders>
            <w:shd w:val="clear" w:color="auto" w:fill="auto"/>
          </w:tcPr>
          <w:p w:rsidR="00765AD1" w:rsidRPr="007127A4" w:rsidRDefault="00765AD1" w:rsidP="00765AD1">
            <w:pPr>
              <w:pStyle w:val="table"/>
            </w:pPr>
            <w:r>
              <w:t>value</w:t>
            </w:r>
          </w:p>
        </w:tc>
        <w:tc>
          <w:tcPr>
            <w:tcW w:w="1327" w:type="dxa"/>
            <w:tcBorders>
              <w:top w:val="nil"/>
              <w:left w:val="nil"/>
              <w:bottom w:val="nil"/>
              <w:right w:val="nil"/>
            </w:tcBorders>
            <w:shd w:val="clear" w:color="auto" w:fill="auto"/>
          </w:tcPr>
          <w:p w:rsidR="00765AD1" w:rsidRPr="007127A4" w:rsidRDefault="00765AD1" w:rsidP="00765AD1">
            <w:pPr>
              <w:pStyle w:val="table"/>
            </w:pPr>
            <w:r>
              <w:t>value</w:t>
            </w:r>
          </w:p>
        </w:tc>
        <w:tc>
          <w:tcPr>
            <w:tcW w:w="1327" w:type="dxa"/>
            <w:tcBorders>
              <w:top w:val="nil"/>
              <w:left w:val="nil"/>
              <w:bottom w:val="nil"/>
              <w:right w:val="nil"/>
            </w:tcBorders>
            <w:shd w:val="clear" w:color="auto" w:fill="auto"/>
          </w:tcPr>
          <w:p w:rsidR="00765AD1" w:rsidRPr="007127A4" w:rsidRDefault="00765AD1" w:rsidP="00765AD1">
            <w:pPr>
              <w:pStyle w:val="table"/>
            </w:pPr>
            <w:r>
              <w:t>value</w:t>
            </w:r>
          </w:p>
        </w:tc>
        <w:tc>
          <w:tcPr>
            <w:tcW w:w="1327" w:type="dxa"/>
            <w:tcBorders>
              <w:top w:val="nil"/>
              <w:left w:val="nil"/>
              <w:bottom w:val="nil"/>
              <w:right w:val="nil"/>
            </w:tcBorders>
            <w:shd w:val="clear" w:color="auto" w:fill="auto"/>
          </w:tcPr>
          <w:p w:rsidR="00765AD1" w:rsidRPr="007127A4" w:rsidRDefault="00765AD1" w:rsidP="00765AD1">
            <w:pPr>
              <w:pStyle w:val="table"/>
            </w:pPr>
            <w:r>
              <w:t>value</w:t>
            </w:r>
          </w:p>
        </w:tc>
      </w:tr>
      <w:tr w:rsidR="00765AD1" w:rsidRPr="007127A4" w:rsidTr="00401A1F">
        <w:tc>
          <w:tcPr>
            <w:tcW w:w="1326" w:type="dxa"/>
            <w:tcBorders>
              <w:top w:val="nil"/>
              <w:left w:val="nil"/>
              <w:bottom w:val="nil"/>
              <w:right w:val="nil"/>
            </w:tcBorders>
            <w:shd w:val="clear" w:color="auto" w:fill="auto"/>
          </w:tcPr>
          <w:p w:rsidR="00765AD1" w:rsidRPr="007127A4" w:rsidRDefault="00765AD1" w:rsidP="00765AD1">
            <w:pPr>
              <w:pStyle w:val="table"/>
            </w:pPr>
            <w:r w:rsidRPr="009E78FB">
              <w:t>Row</w:t>
            </w:r>
            <w:r>
              <w:t>3</w:t>
            </w:r>
          </w:p>
        </w:tc>
        <w:tc>
          <w:tcPr>
            <w:tcW w:w="1326" w:type="dxa"/>
            <w:tcBorders>
              <w:top w:val="nil"/>
              <w:left w:val="nil"/>
              <w:bottom w:val="nil"/>
              <w:right w:val="nil"/>
            </w:tcBorders>
            <w:shd w:val="clear" w:color="auto" w:fill="auto"/>
          </w:tcPr>
          <w:p w:rsidR="00765AD1" w:rsidRPr="007127A4" w:rsidRDefault="00765AD1" w:rsidP="00765AD1">
            <w:pPr>
              <w:pStyle w:val="table"/>
            </w:pPr>
            <w:r>
              <w:t>value</w:t>
            </w:r>
          </w:p>
        </w:tc>
        <w:tc>
          <w:tcPr>
            <w:tcW w:w="1327" w:type="dxa"/>
            <w:tcBorders>
              <w:top w:val="nil"/>
              <w:left w:val="nil"/>
              <w:bottom w:val="nil"/>
              <w:right w:val="nil"/>
            </w:tcBorders>
            <w:shd w:val="clear" w:color="auto" w:fill="auto"/>
          </w:tcPr>
          <w:p w:rsidR="00765AD1" w:rsidRPr="007127A4" w:rsidRDefault="00765AD1" w:rsidP="00765AD1">
            <w:pPr>
              <w:pStyle w:val="table"/>
            </w:pPr>
            <w:r>
              <w:t>value</w:t>
            </w:r>
          </w:p>
        </w:tc>
        <w:tc>
          <w:tcPr>
            <w:tcW w:w="1327" w:type="dxa"/>
            <w:tcBorders>
              <w:top w:val="nil"/>
              <w:left w:val="nil"/>
              <w:bottom w:val="nil"/>
              <w:right w:val="nil"/>
            </w:tcBorders>
            <w:shd w:val="clear" w:color="auto" w:fill="auto"/>
          </w:tcPr>
          <w:p w:rsidR="00765AD1" w:rsidRPr="007127A4" w:rsidRDefault="00765AD1" w:rsidP="00765AD1">
            <w:pPr>
              <w:pStyle w:val="table"/>
            </w:pPr>
            <w:r>
              <w:t>value</w:t>
            </w:r>
          </w:p>
        </w:tc>
        <w:tc>
          <w:tcPr>
            <w:tcW w:w="1327" w:type="dxa"/>
            <w:tcBorders>
              <w:top w:val="nil"/>
              <w:left w:val="nil"/>
              <w:bottom w:val="nil"/>
              <w:right w:val="nil"/>
            </w:tcBorders>
            <w:shd w:val="clear" w:color="auto" w:fill="auto"/>
          </w:tcPr>
          <w:p w:rsidR="00765AD1" w:rsidRPr="007127A4" w:rsidRDefault="00765AD1" w:rsidP="00765AD1">
            <w:pPr>
              <w:pStyle w:val="table"/>
            </w:pPr>
            <w:r>
              <w:t>value</w:t>
            </w:r>
          </w:p>
        </w:tc>
      </w:tr>
      <w:tr w:rsidR="00765AD1" w:rsidRPr="007127A4" w:rsidTr="00401A1F">
        <w:tc>
          <w:tcPr>
            <w:tcW w:w="1326" w:type="dxa"/>
            <w:tcBorders>
              <w:top w:val="nil"/>
              <w:left w:val="nil"/>
              <w:bottom w:val="single" w:sz="4" w:space="0" w:color="auto"/>
              <w:right w:val="nil"/>
            </w:tcBorders>
            <w:shd w:val="clear" w:color="auto" w:fill="auto"/>
          </w:tcPr>
          <w:p w:rsidR="00765AD1" w:rsidRPr="007127A4" w:rsidRDefault="00765AD1" w:rsidP="00765AD1">
            <w:pPr>
              <w:pStyle w:val="table"/>
            </w:pPr>
            <w:r w:rsidRPr="009E78FB">
              <w:t>Row</w:t>
            </w:r>
            <w:r>
              <w:t>4</w:t>
            </w:r>
          </w:p>
        </w:tc>
        <w:tc>
          <w:tcPr>
            <w:tcW w:w="1326" w:type="dxa"/>
            <w:tcBorders>
              <w:top w:val="nil"/>
              <w:left w:val="nil"/>
              <w:bottom w:val="single" w:sz="4" w:space="0" w:color="auto"/>
              <w:right w:val="nil"/>
            </w:tcBorders>
            <w:shd w:val="clear" w:color="auto" w:fill="auto"/>
          </w:tcPr>
          <w:p w:rsidR="00765AD1" w:rsidRPr="007127A4" w:rsidRDefault="00765AD1" w:rsidP="00765AD1">
            <w:pPr>
              <w:pStyle w:val="table"/>
            </w:pPr>
            <w:r>
              <w:t>value</w:t>
            </w:r>
          </w:p>
        </w:tc>
        <w:tc>
          <w:tcPr>
            <w:tcW w:w="1327" w:type="dxa"/>
            <w:tcBorders>
              <w:top w:val="nil"/>
              <w:left w:val="nil"/>
              <w:bottom w:val="single" w:sz="4" w:space="0" w:color="auto"/>
              <w:right w:val="nil"/>
            </w:tcBorders>
            <w:shd w:val="clear" w:color="auto" w:fill="auto"/>
          </w:tcPr>
          <w:p w:rsidR="00765AD1" w:rsidRPr="007127A4" w:rsidRDefault="00765AD1" w:rsidP="00765AD1">
            <w:pPr>
              <w:pStyle w:val="table"/>
            </w:pPr>
            <w:r>
              <w:t>value</w:t>
            </w:r>
          </w:p>
        </w:tc>
        <w:tc>
          <w:tcPr>
            <w:tcW w:w="1327" w:type="dxa"/>
            <w:tcBorders>
              <w:top w:val="nil"/>
              <w:left w:val="nil"/>
              <w:bottom w:val="single" w:sz="4" w:space="0" w:color="auto"/>
              <w:right w:val="nil"/>
            </w:tcBorders>
            <w:shd w:val="clear" w:color="auto" w:fill="auto"/>
          </w:tcPr>
          <w:p w:rsidR="00765AD1" w:rsidRPr="007127A4" w:rsidRDefault="00765AD1" w:rsidP="00765AD1">
            <w:pPr>
              <w:pStyle w:val="table"/>
            </w:pPr>
            <w:r>
              <w:t>value</w:t>
            </w:r>
          </w:p>
        </w:tc>
        <w:tc>
          <w:tcPr>
            <w:tcW w:w="1327" w:type="dxa"/>
            <w:tcBorders>
              <w:top w:val="nil"/>
              <w:left w:val="nil"/>
              <w:bottom w:val="single" w:sz="4" w:space="0" w:color="auto"/>
              <w:right w:val="nil"/>
            </w:tcBorders>
            <w:shd w:val="clear" w:color="auto" w:fill="auto"/>
          </w:tcPr>
          <w:p w:rsidR="00765AD1" w:rsidRPr="007127A4" w:rsidRDefault="00765AD1" w:rsidP="00765AD1">
            <w:pPr>
              <w:pStyle w:val="table"/>
            </w:pPr>
            <w:r>
              <w:t>value</w:t>
            </w:r>
          </w:p>
        </w:tc>
      </w:tr>
    </w:tbl>
    <w:p w:rsidR="00401A1F" w:rsidRDefault="00401A1F" w:rsidP="00401A1F"/>
    <w:p w:rsidR="00401A1F" w:rsidRDefault="00401A1F" w:rsidP="00401A1F">
      <w:r>
        <w:t xml:space="preserve">Please also note the following: </w:t>
      </w:r>
    </w:p>
    <w:p w:rsidR="00401A1F" w:rsidRDefault="00CE2AAD" w:rsidP="00401A1F">
      <w:pPr>
        <w:pStyle w:val="BulletItem"/>
      </w:pPr>
      <w:r>
        <w:t>n</w:t>
      </w:r>
      <w:r w:rsidR="00401A1F">
        <w:t>umber the tables consecutively using the chapter number (e.g., Table 1) and ensure that all the tables are cited i</w:t>
      </w:r>
      <w:r>
        <w:t>n the text in the correct order;</w:t>
      </w:r>
    </w:p>
    <w:p w:rsidR="00401A1F" w:rsidRDefault="00CE2AAD" w:rsidP="00467D22">
      <w:pPr>
        <w:pStyle w:val="BulletItem"/>
      </w:pPr>
      <w:r>
        <w:t>give each table a heading;</w:t>
      </w:r>
    </w:p>
    <w:p w:rsidR="00401A1F" w:rsidRDefault="00CE2AAD" w:rsidP="00401A1F">
      <w:pPr>
        <w:pStyle w:val="BulletItem"/>
      </w:pPr>
      <w:proofErr w:type="gramStart"/>
      <w:r>
        <w:t>d</w:t>
      </w:r>
      <w:r w:rsidR="00401A1F">
        <w:t>o</w:t>
      </w:r>
      <w:proofErr w:type="gramEnd"/>
      <w:r w:rsidR="00401A1F">
        <w:t xml:space="preserve"> not use the space bar to separate columns, and do not use Excel to create tables.</w:t>
      </w:r>
    </w:p>
    <w:p w:rsidR="002D0ED1" w:rsidRDefault="002D0ED1" w:rsidP="002D0ED1">
      <w:pPr>
        <w:pStyle w:val="heading2"/>
      </w:pPr>
      <w:r>
        <w:t>2.3 Equations and lists</w:t>
      </w:r>
    </w:p>
    <w:p w:rsidR="002D0ED1" w:rsidRDefault="002D0ED1" w:rsidP="002D0ED1">
      <w:pPr>
        <w:pStyle w:val="p1a"/>
      </w:pPr>
      <w:r>
        <w:t>Equations should be numbered consecutively. The equation number is to be placed at the ext</w:t>
      </w:r>
      <w:r w:rsidR="00684457">
        <w:t>reme right side as shown in Eq. (1)</w:t>
      </w:r>
      <w:bookmarkStart w:id="0" w:name="_GoBack"/>
      <w:bookmarkEnd w:id="0"/>
      <w:r>
        <w:t xml:space="preserve">. When referred to in the text, equation should be cited as Eq. (1), </w:t>
      </w:r>
      <w:proofErr w:type="spellStart"/>
      <w:r>
        <w:t>Eqs</w:t>
      </w:r>
      <w:proofErr w:type="spellEnd"/>
      <w:r>
        <w:t>. (3)</w:t>
      </w:r>
      <w:proofErr w:type="gramStart"/>
      <w:r>
        <w:t>-(</w:t>
      </w:r>
      <w:proofErr w:type="gramEnd"/>
      <w:r>
        <w:t xml:space="preserve">5); if the word “Equation” begins a sentence, it should be written out in full. </w:t>
      </w:r>
    </w:p>
    <w:p w:rsidR="00765AD1" w:rsidRDefault="00765AD1" w:rsidP="00765AD1">
      <w:pPr>
        <w:pStyle w:val="equation"/>
      </w:pPr>
      <w:r>
        <w:tab/>
      </w:r>
      <w:r w:rsidRPr="00826542">
        <w:rPr>
          <w:position w:val="-22"/>
        </w:rPr>
        <w:object w:dxaOrig="32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4pt;height:27.6pt" o:ole="">
            <v:imagedata r:id="rId12" o:title=""/>
          </v:shape>
          <o:OLEObject Type="Embed" ProgID="Equation.DSMT4" ShapeID="_x0000_i1025" DrawAspect="Content" ObjectID="_1536579495" r:id="rId13"/>
        </w:object>
      </w:r>
      <w:r w:rsidR="00684457">
        <w:tab/>
        <w:t>(1)</w:t>
      </w:r>
    </w:p>
    <w:p w:rsidR="002D0ED1" w:rsidRDefault="00765AD1" w:rsidP="002D0ED1">
      <w:pPr>
        <w:pStyle w:val="p1a"/>
      </w:pPr>
      <w:r>
        <w:t>where</w:t>
      </w:r>
      <w:r w:rsidRPr="00E51157">
        <w:rPr>
          <w:rFonts w:ascii="PLMathItalic12-Italic" w:hAnsi="PLMathItalic12-Italic" w:cs="PLMathItalic12-Italic"/>
          <w:i/>
          <w:iCs/>
          <w:lang w:val="en-GB"/>
        </w:rPr>
        <w:t xml:space="preserve"> </w:t>
      </w:r>
      <w:r w:rsidRPr="006E4900">
        <w:rPr>
          <w:rFonts w:ascii="PLMathItalic12-Italic" w:hAnsi="PLMathItalic12-Italic" w:cs="PLMathItalic12-Italic"/>
          <w:i/>
          <w:iCs/>
          <w:lang w:val="en-GB"/>
        </w:rPr>
        <w:t xml:space="preserve">t </w:t>
      </w:r>
      <w:r w:rsidRPr="006E4900">
        <w:rPr>
          <w:lang w:val="en-GB"/>
        </w:rPr>
        <w:t>– time</w:t>
      </w:r>
      <w:r>
        <w:rPr>
          <w:lang w:val="en-GB"/>
        </w:rPr>
        <w:t xml:space="preserve"> [s]</w:t>
      </w:r>
      <w:r w:rsidRPr="006E4900">
        <w:rPr>
          <w:lang w:val="en-GB"/>
        </w:rPr>
        <w:t xml:space="preserve">, </w:t>
      </w:r>
      <w:r w:rsidRPr="006E4900">
        <w:rPr>
          <w:rFonts w:ascii="PLMathItalic12-Italic" w:hAnsi="PLMathItalic12-Italic" w:cs="PLMathItalic12-Italic"/>
          <w:i/>
          <w:iCs/>
          <w:lang w:val="en-GB"/>
        </w:rPr>
        <w:t>T</w:t>
      </w:r>
      <w:r w:rsidRPr="006E4900">
        <w:rPr>
          <w:lang w:val="en-GB"/>
        </w:rPr>
        <w:t>(</w:t>
      </w:r>
      <w:r w:rsidRPr="006E4900">
        <w:rPr>
          <w:rFonts w:ascii="PLRoman12-Bold" w:hAnsi="PLRoman12-Bold" w:cs="PLRoman12-Bold"/>
          <w:b/>
          <w:bCs/>
          <w:lang w:val="en-GB"/>
        </w:rPr>
        <w:t>x</w:t>
      </w:r>
      <w:r>
        <w:rPr>
          <w:rFonts w:ascii="PLMathItalic12-Italic" w:hAnsi="PLMathItalic12-Italic" w:cs="PLMathItalic12-Italic"/>
          <w:i/>
          <w:iCs/>
          <w:lang w:val="en-GB"/>
        </w:rPr>
        <w:t>, </w:t>
      </w:r>
      <w:r w:rsidRPr="006E4900">
        <w:rPr>
          <w:rFonts w:ascii="PLMathItalic12-Italic" w:hAnsi="PLMathItalic12-Italic" w:cs="PLMathItalic12-Italic"/>
          <w:i/>
          <w:iCs/>
          <w:lang w:val="en-GB"/>
        </w:rPr>
        <w:t>t</w:t>
      </w:r>
      <w:r>
        <w:rPr>
          <w:lang w:val="en-GB"/>
        </w:rPr>
        <w:t>) – time</w:t>
      </w:r>
      <w:r w:rsidRPr="006E4900">
        <w:rPr>
          <w:lang w:val="en-GB"/>
        </w:rPr>
        <w:t>-averaged water temperature</w:t>
      </w:r>
      <w:r>
        <w:rPr>
          <w:lang w:val="en-GB"/>
        </w:rPr>
        <w:t xml:space="preserve"> [</w:t>
      </w:r>
      <w:r w:rsidRPr="00377746">
        <w:rPr>
          <w:lang w:val="en-GB"/>
        </w:rPr>
        <w:t>°C</w:t>
      </w:r>
      <w:r>
        <w:rPr>
          <w:lang w:val="en-GB"/>
        </w:rPr>
        <w:t>]</w:t>
      </w:r>
      <w:r w:rsidRPr="006E4900">
        <w:rPr>
          <w:lang w:val="en-GB"/>
        </w:rPr>
        <w:t>,</w:t>
      </w:r>
      <w:r>
        <w:rPr>
          <w:lang w:val="en-GB"/>
        </w:rPr>
        <w:t xml:space="preserve"> </w:t>
      </w:r>
      <w:r>
        <w:rPr>
          <w:rFonts w:ascii="PLRoman12-Bold" w:hAnsi="PLRoman12-Bold" w:cs="PLRoman12-Bold"/>
          <w:b/>
          <w:bCs/>
          <w:lang w:val="en-GB"/>
        </w:rPr>
        <w:t>x </w:t>
      </w:r>
      <w:r>
        <w:rPr>
          <w:lang w:val="en-GB"/>
        </w:rPr>
        <w:t>= </w:t>
      </w:r>
      <w:r w:rsidRPr="006E4900">
        <w:rPr>
          <w:lang w:val="en-GB"/>
        </w:rPr>
        <w:t>(</w:t>
      </w:r>
      <w:r>
        <w:rPr>
          <w:rFonts w:ascii="PLMathItalic12-Italic" w:hAnsi="PLMathItalic12-Italic" w:cs="PLMathItalic12-Italic"/>
          <w:i/>
          <w:iCs/>
          <w:lang w:val="en-GB"/>
        </w:rPr>
        <w:t>x, </w:t>
      </w:r>
      <w:r w:rsidRPr="006E4900">
        <w:rPr>
          <w:rFonts w:ascii="PLMathItalic12-Italic" w:hAnsi="PLMathItalic12-Italic" w:cs="PLMathItalic12-Italic"/>
          <w:i/>
          <w:iCs/>
          <w:lang w:val="en-GB"/>
        </w:rPr>
        <w:t>y</w:t>
      </w:r>
      <w:r>
        <w:rPr>
          <w:rFonts w:ascii="PLMathItalic12-Italic" w:hAnsi="PLMathItalic12-Italic" w:cs="PLMathItalic12-Italic"/>
          <w:i/>
          <w:iCs/>
          <w:lang w:val="en-GB"/>
        </w:rPr>
        <w:t>, z</w:t>
      </w:r>
      <w:r w:rsidRPr="006E4900">
        <w:rPr>
          <w:lang w:val="en-GB"/>
        </w:rPr>
        <w:t>)</w:t>
      </w:r>
      <w:r>
        <w:rPr>
          <w:lang w:val="en-GB"/>
        </w:rPr>
        <w:t xml:space="preserve"> – position vector [m], </w:t>
      </w:r>
      <w:r w:rsidRPr="00DB0282">
        <w:rPr>
          <w:i/>
          <w:lang w:val="en-GB"/>
        </w:rPr>
        <w:t>x</w:t>
      </w:r>
      <w:r>
        <w:rPr>
          <w:lang w:val="en-GB"/>
        </w:rPr>
        <w:t xml:space="preserve"> – longitudinal coordinate [m], </w:t>
      </w:r>
      <w:r w:rsidRPr="00DB0282">
        <w:rPr>
          <w:i/>
          <w:lang w:val="en-GB"/>
        </w:rPr>
        <w:t>y</w:t>
      </w:r>
      <w:r>
        <w:rPr>
          <w:lang w:val="en-GB"/>
        </w:rPr>
        <w:t xml:space="preserve"> – transversal (lateral) coordinate [m], </w:t>
      </w:r>
      <w:r w:rsidRPr="00DB0282">
        <w:rPr>
          <w:i/>
          <w:lang w:val="en-GB"/>
        </w:rPr>
        <w:t>z</w:t>
      </w:r>
      <w:r>
        <w:rPr>
          <w:lang w:val="en-GB"/>
        </w:rPr>
        <w:t xml:space="preserve"> – vertical coordinate [m]</w:t>
      </w:r>
      <w:r w:rsidRPr="006E4900">
        <w:rPr>
          <w:lang w:val="en-GB"/>
        </w:rPr>
        <w:t>,</w:t>
      </w:r>
      <w:r>
        <w:rPr>
          <w:lang w:val="en-GB"/>
        </w:rPr>
        <w:t xml:space="preserve"> </w:t>
      </w:r>
      <w:r w:rsidRPr="006E4900">
        <w:rPr>
          <w:rFonts w:ascii="PLRoman12-Bold" w:hAnsi="PLRoman12-Bold" w:cs="PLRoman12-Bold"/>
          <w:b/>
          <w:bCs/>
          <w:lang w:val="en-GB"/>
        </w:rPr>
        <w:t>v</w:t>
      </w:r>
      <w:r w:rsidRPr="006E4900">
        <w:rPr>
          <w:lang w:val="en-GB"/>
        </w:rPr>
        <w:t>(</w:t>
      </w:r>
      <w:r w:rsidRPr="006E4900">
        <w:rPr>
          <w:rFonts w:ascii="PLRoman12-Bold" w:hAnsi="PLRoman12-Bold" w:cs="PLRoman12-Bold"/>
          <w:b/>
          <w:bCs/>
          <w:lang w:val="en-GB"/>
        </w:rPr>
        <w:t>x</w:t>
      </w:r>
      <w:r w:rsidRPr="006E4900">
        <w:rPr>
          <w:lang w:val="en-GB"/>
        </w:rPr>
        <w:t>)</w:t>
      </w:r>
      <w:r>
        <w:rPr>
          <w:lang w:val="en-GB"/>
        </w:rPr>
        <w:t> = (</w:t>
      </w:r>
      <w:r w:rsidRPr="00421715">
        <w:rPr>
          <w:i/>
          <w:lang w:val="en-GB"/>
        </w:rPr>
        <w:t>v</w:t>
      </w:r>
      <w:r w:rsidRPr="00421715">
        <w:rPr>
          <w:i/>
          <w:vertAlign w:val="subscript"/>
        </w:rPr>
        <w:t>x</w:t>
      </w:r>
      <w:r>
        <w:rPr>
          <w:lang w:val="en-GB"/>
        </w:rPr>
        <w:t xml:space="preserve">, </w:t>
      </w:r>
      <w:r w:rsidRPr="00421715">
        <w:rPr>
          <w:i/>
          <w:lang w:val="en-GB"/>
        </w:rPr>
        <w:t>v</w:t>
      </w:r>
      <w:r>
        <w:rPr>
          <w:i/>
          <w:vertAlign w:val="subscript"/>
        </w:rPr>
        <w:t>y</w:t>
      </w:r>
      <w:r>
        <w:rPr>
          <w:lang w:val="en-GB"/>
        </w:rPr>
        <w:t xml:space="preserve">, </w:t>
      </w:r>
      <w:r w:rsidRPr="00421715">
        <w:rPr>
          <w:i/>
          <w:lang w:val="en-GB"/>
        </w:rPr>
        <w:t>v</w:t>
      </w:r>
      <w:r>
        <w:rPr>
          <w:i/>
          <w:vertAlign w:val="subscript"/>
        </w:rPr>
        <w:t>z</w:t>
      </w:r>
      <w:r>
        <w:rPr>
          <w:lang w:val="en-GB"/>
        </w:rPr>
        <w:t>) – ti</w:t>
      </w:r>
      <w:r w:rsidR="00917A68">
        <w:rPr>
          <w:lang w:val="en-GB"/>
        </w:rPr>
        <w:t xml:space="preserve">me-averaged velocity </w:t>
      </w:r>
      <w:proofErr w:type="gramStart"/>
      <w:r w:rsidR="00917A68">
        <w:rPr>
          <w:lang w:val="en-GB"/>
        </w:rPr>
        <w:t>vector</w:t>
      </w:r>
      <w:proofErr w:type="gramEnd"/>
      <w:r w:rsidR="00917A68">
        <w:rPr>
          <w:lang w:val="en-GB"/>
        </w:rPr>
        <w:t xml:space="preserve"> [m s</w:t>
      </w:r>
      <w:r w:rsidR="00917A68" w:rsidRPr="00917A68">
        <w:rPr>
          <w:vertAlign w:val="superscript"/>
          <w:lang w:val="en-GB"/>
        </w:rPr>
        <w:t>-1</w:t>
      </w:r>
      <w:r>
        <w:rPr>
          <w:lang w:val="en-GB"/>
        </w:rPr>
        <w:t>]</w:t>
      </w:r>
      <w:r w:rsidRPr="006E4900">
        <w:rPr>
          <w:lang w:val="en-GB"/>
        </w:rPr>
        <w:t>,</w:t>
      </w:r>
      <w:r>
        <w:rPr>
          <w:lang w:val="en-GB"/>
        </w:rPr>
        <w:t xml:space="preserve"> </w:t>
      </w:r>
      <w:r w:rsidRPr="006E4900">
        <w:rPr>
          <w:rFonts w:ascii="PLRoman12-Bold" w:hAnsi="PLRoman12-Bold" w:cs="PLRoman12-Bold"/>
          <w:b/>
          <w:bCs/>
          <w:lang w:val="en-GB"/>
        </w:rPr>
        <w:t>D</w:t>
      </w:r>
      <w:r>
        <w:rPr>
          <w:rFonts w:ascii="PLRoman12-Bold" w:hAnsi="PLRoman12-Bold" w:cs="PLRoman12-Bold"/>
          <w:b/>
          <w:bCs/>
          <w:vertAlign w:val="subscript"/>
          <w:lang w:val="en-GB"/>
        </w:rPr>
        <w:t>M</w:t>
      </w:r>
      <w:r w:rsidRPr="006E4900">
        <w:rPr>
          <w:lang w:val="en-GB"/>
        </w:rPr>
        <w:t>(</w:t>
      </w:r>
      <w:r w:rsidRPr="006E4900">
        <w:rPr>
          <w:rFonts w:ascii="PLRoman12-Bold" w:hAnsi="PLRoman12-Bold" w:cs="PLRoman12-Bold"/>
          <w:b/>
          <w:bCs/>
          <w:lang w:val="en-GB"/>
        </w:rPr>
        <w:t>x</w:t>
      </w:r>
      <w:r w:rsidRPr="006E4900">
        <w:rPr>
          <w:lang w:val="en-GB"/>
        </w:rPr>
        <w:t>) –</w:t>
      </w:r>
      <w:r>
        <w:rPr>
          <w:lang w:val="en-GB"/>
        </w:rPr>
        <w:t xml:space="preserve"> molecular heat diffusion tensor [m</w:t>
      </w:r>
      <w:r>
        <w:rPr>
          <w:vertAlign w:val="superscript"/>
          <w:lang w:val="en-GB"/>
        </w:rPr>
        <w:t>2</w:t>
      </w:r>
      <w:r w:rsidR="00917A68">
        <w:rPr>
          <w:vertAlign w:val="superscript"/>
          <w:lang w:val="en-GB"/>
        </w:rPr>
        <w:t xml:space="preserve"> </w:t>
      </w:r>
      <w:r w:rsidR="00917A68">
        <w:rPr>
          <w:lang w:val="en-GB"/>
        </w:rPr>
        <w:t>s</w:t>
      </w:r>
      <w:r w:rsidR="00917A68" w:rsidRPr="00917A68">
        <w:rPr>
          <w:vertAlign w:val="superscript"/>
          <w:lang w:val="en-GB"/>
        </w:rPr>
        <w:t>-1</w:t>
      </w:r>
      <w:r>
        <w:rPr>
          <w:lang w:val="en-GB"/>
        </w:rPr>
        <w:t xml:space="preserve">], </w:t>
      </w:r>
      <w:r w:rsidRPr="006E4900">
        <w:rPr>
          <w:rFonts w:ascii="PLRoman12-Bold" w:hAnsi="PLRoman12-Bold" w:cs="PLRoman12-Bold"/>
          <w:b/>
          <w:bCs/>
          <w:lang w:val="en-GB"/>
        </w:rPr>
        <w:t>D</w:t>
      </w:r>
      <w:r>
        <w:rPr>
          <w:rFonts w:ascii="PLRoman12-Bold" w:hAnsi="PLRoman12-Bold" w:cs="PLRoman12-Bold"/>
          <w:b/>
          <w:bCs/>
          <w:vertAlign w:val="subscript"/>
          <w:lang w:val="en-GB"/>
        </w:rPr>
        <w:t>T</w:t>
      </w:r>
      <w:r w:rsidRPr="006E4900">
        <w:rPr>
          <w:lang w:val="en-GB"/>
        </w:rPr>
        <w:t>(</w:t>
      </w:r>
      <w:r w:rsidRPr="006E4900">
        <w:rPr>
          <w:rFonts w:ascii="PLRoman12-Bold" w:hAnsi="PLRoman12-Bold" w:cs="PLRoman12-Bold"/>
          <w:b/>
          <w:bCs/>
          <w:lang w:val="en-GB"/>
        </w:rPr>
        <w:t>x</w:t>
      </w:r>
      <w:r w:rsidRPr="006E4900">
        <w:rPr>
          <w:lang w:val="en-GB"/>
        </w:rPr>
        <w:t>)</w:t>
      </w:r>
      <w:r w:rsidRPr="00540D14">
        <w:rPr>
          <w:lang w:val="en-GB"/>
        </w:rPr>
        <w:t xml:space="preserve"> – </w:t>
      </w:r>
      <w:r>
        <w:rPr>
          <w:lang w:val="en-GB"/>
        </w:rPr>
        <w:t xml:space="preserve">turbulent heat diffusion </w:t>
      </w:r>
      <w:r w:rsidRPr="00540D14">
        <w:rPr>
          <w:lang w:val="en-GB"/>
        </w:rPr>
        <w:t>tensor</w:t>
      </w:r>
      <w:r>
        <w:rPr>
          <w:lang w:val="en-GB"/>
        </w:rPr>
        <w:t xml:space="preserve"> [m</w:t>
      </w:r>
      <w:r>
        <w:rPr>
          <w:vertAlign w:val="superscript"/>
          <w:lang w:val="en-GB"/>
        </w:rPr>
        <w:t>2</w:t>
      </w:r>
      <w:r w:rsidR="00917A68">
        <w:rPr>
          <w:lang w:val="en-GB"/>
        </w:rPr>
        <w:t xml:space="preserve"> s</w:t>
      </w:r>
      <w:r w:rsidR="00917A68" w:rsidRPr="00917A68">
        <w:rPr>
          <w:vertAlign w:val="superscript"/>
          <w:lang w:val="en-GB"/>
        </w:rPr>
        <w:t>-1</w:t>
      </w:r>
      <w:r>
        <w:rPr>
          <w:lang w:val="en-GB"/>
        </w:rPr>
        <w:t xml:space="preserve">], </w:t>
      </w:r>
      <w:r>
        <w:rPr>
          <w:i/>
          <w:lang w:val="en-GB"/>
        </w:rPr>
        <w:t>Q</w:t>
      </w:r>
      <w:r w:rsidRPr="002E22A1">
        <w:rPr>
          <w:lang w:val="en-GB"/>
        </w:rPr>
        <w:t xml:space="preserve"> </w:t>
      </w:r>
      <w:r w:rsidRPr="006E4900">
        <w:rPr>
          <w:lang w:val="en-GB"/>
        </w:rPr>
        <w:t xml:space="preserve">– </w:t>
      </w:r>
      <w:r>
        <w:rPr>
          <w:lang w:val="en-GB"/>
        </w:rPr>
        <w:t>source function describing additional heating or cooling processes.</w:t>
      </w:r>
      <w:r>
        <w:t xml:space="preserve"> </w:t>
      </w:r>
    </w:p>
    <w:p w:rsidR="008B34DB" w:rsidRDefault="009520AA" w:rsidP="008B34DB">
      <w:r w:rsidRPr="008B34DB">
        <w:t xml:space="preserve">Please note: </w:t>
      </w:r>
    </w:p>
    <w:p w:rsidR="009023BE" w:rsidRDefault="009520AA" w:rsidP="008B34DB">
      <w:pPr>
        <w:pStyle w:val="BulletItem"/>
      </w:pPr>
      <w:r w:rsidRPr="009520AA">
        <w:t xml:space="preserve">the use of SI units </w:t>
      </w:r>
      <w:r>
        <w:t>is mandatory;</w:t>
      </w:r>
    </w:p>
    <w:p w:rsidR="008B34DB" w:rsidRPr="009023BE" w:rsidRDefault="008B34DB" w:rsidP="008B34DB">
      <w:pPr>
        <w:pStyle w:val="BulletItem"/>
        <w:rPr>
          <w:lang w:eastAsia="en-US"/>
        </w:rPr>
      </w:pPr>
      <w:r>
        <w:rPr>
          <w:lang w:eastAsia="en-US"/>
        </w:rPr>
        <w:t xml:space="preserve">all units should be </w:t>
      </w:r>
      <w:r w:rsidRPr="008B34DB">
        <w:rPr>
          <w:lang w:eastAsia="en-US"/>
        </w:rPr>
        <w:t xml:space="preserve">displayed using exponential formatting </w:t>
      </w:r>
      <w:r>
        <w:rPr>
          <w:lang w:eastAsia="en-US"/>
        </w:rPr>
        <w:t xml:space="preserve">and </w:t>
      </w:r>
      <w:r w:rsidRPr="008B34DB">
        <w:rPr>
          <w:lang w:eastAsia="en-US"/>
        </w:rPr>
        <w:t xml:space="preserve">typeset using </w:t>
      </w:r>
      <w:r>
        <w:rPr>
          <w:lang w:eastAsia="en-US"/>
        </w:rPr>
        <w:t>normal</w:t>
      </w:r>
      <w:r w:rsidRPr="008B34DB">
        <w:rPr>
          <w:lang w:eastAsia="en-US"/>
        </w:rPr>
        <w:t xml:space="preserve"> </w:t>
      </w:r>
      <w:r>
        <w:rPr>
          <w:lang w:eastAsia="en-US"/>
        </w:rPr>
        <w:t>font (</w:t>
      </w:r>
      <w:r w:rsidRPr="008B34DB">
        <w:rPr>
          <w:lang w:eastAsia="en-US"/>
        </w:rPr>
        <w:t>not italic or bold</w:t>
      </w:r>
      <w:r>
        <w:rPr>
          <w:lang w:eastAsia="en-US"/>
        </w:rPr>
        <w:t>), m</w:t>
      </w:r>
      <w:r w:rsidRPr="008B34DB">
        <w:rPr>
          <w:lang w:eastAsia="en-US"/>
        </w:rPr>
        <w:t>ultiplication of units should be indicated by a space and division by negative exponents (e.g. m s</w:t>
      </w:r>
      <w:r w:rsidRPr="008B34DB">
        <w:rPr>
          <w:vertAlign w:val="superscript"/>
          <w:lang w:eastAsia="en-US"/>
        </w:rPr>
        <w:t>–2</w:t>
      </w:r>
      <w:r>
        <w:rPr>
          <w:lang w:eastAsia="en-US"/>
        </w:rPr>
        <w:t>);</w:t>
      </w:r>
    </w:p>
    <w:p w:rsidR="009520AA" w:rsidRPr="009520AA" w:rsidRDefault="009520AA" w:rsidP="009520AA">
      <w:pPr>
        <w:pStyle w:val="BulletItem"/>
      </w:pPr>
      <w:r>
        <w:t>c</w:t>
      </w:r>
      <w:r w:rsidRPr="009520AA">
        <w:t>ommon, explicitly defined,</w:t>
      </w:r>
      <w:r>
        <w:t xml:space="preserve"> functions should not be italic (e.g. Γ(</w:t>
      </w:r>
      <w:r w:rsidRPr="009520AA">
        <w:rPr>
          <w:i/>
        </w:rPr>
        <w:t>y</w:t>
      </w:r>
      <w:r w:rsidRPr="009520AA">
        <w:t xml:space="preserve">) for the gamma function, </w:t>
      </w:r>
      <w:proofErr w:type="spellStart"/>
      <w:r>
        <w:t>exp</w:t>
      </w:r>
      <w:proofErr w:type="spellEnd"/>
      <w:r>
        <w:t>(</w:t>
      </w:r>
      <w:r w:rsidRPr="009520AA">
        <w:rPr>
          <w:i/>
        </w:rPr>
        <w:t>a</w:t>
      </w:r>
      <w:r>
        <w:t xml:space="preserve"> + </w:t>
      </w:r>
      <w:r w:rsidRPr="009520AA">
        <w:rPr>
          <w:i/>
        </w:rPr>
        <w:t>b</w:t>
      </w:r>
      <w:r w:rsidRPr="009520AA">
        <w:t>)</w:t>
      </w:r>
      <w:r>
        <w:t>, sin(</w:t>
      </w:r>
      <w:r w:rsidRPr="009520AA">
        <w:rPr>
          <w:i/>
        </w:rPr>
        <w:t>x</w:t>
      </w:r>
      <w:r>
        <w:t>));</w:t>
      </w:r>
    </w:p>
    <w:p w:rsidR="009023BE" w:rsidRPr="009023BE" w:rsidRDefault="008B34DB" w:rsidP="008B34DB">
      <w:pPr>
        <w:pStyle w:val="BulletItem"/>
      </w:pPr>
      <w:proofErr w:type="gramStart"/>
      <w:r>
        <w:t>m</w:t>
      </w:r>
      <w:r w:rsidRPr="008B34DB">
        <w:t>athematical</w:t>
      </w:r>
      <w:proofErr w:type="gramEnd"/>
      <w:r w:rsidRPr="008B34DB">
        <w:t xml:space="preserve"> operators </w:t>
      </w:r>
      <w:r>
        <w:t xml:space="preserve">and </w:t>
      </w:r>
      <w:r w:rsidRPr="008B34DB">
        <w:t xml:space="preserve">constants should not be italic (e.g. </w:t>
      </w:r>
      <w:r>
        <w:t>d</w:t>
      </w:r>
      <w:r>
        <w:rPr>
          <w:i/>
        </w:rPr>
        <w:t>x</w:t>
      </w:r>
      <w:r>
        <w:t xml:space="preserve">, </w:t>
      </w:r>
      <w:r>
        <w:rPr>
          <w:i/>
        </w:rPr>
        <w:t xml:space="preserve"> </w:t>
      </w:r>
      <w:r w:rsidRPr="008B34DB">
        <w:t>e = 2.718…</w:t>
      </w:r>
      <w:r>
        <w:t>);</w:t>
      </w:r>
      <w:r w:rsidRPr="008B34DB">
        <w:t xml:space="preserve"> </w:t>
      </w:r>
    </w:p>
    <w:p w:rsidR="009023BE" w:rsidRDefault="00C80051" w:rsidP="00C80051">
      <w:pPr>
        <w:pStyle w:val="BulletItem"/>
      </w:pPr>
      <w:r>
        <w:t>v</w:t>
      </w:r>
      <w:r w:rsidRPr="00C80051">
        <w:t xml:space="preserve">ectors </w:t>
      </w:r>
      <w:r>
        <w:t xml:space="preserve">and matrices and tensors </w:t>
      </w:r>
      <w:r w:rsidRPr="00C80051">
        <w:t xml:space="preserve">should be bold (e.g. </w:t>
      </w:r>
      <w:r>
        <w:rPr>
          <w:rFonts w:ascii="PLRoman12-Bold" w:hAnsi="PLRoman12-Bold" w:cs="PLRoman12-Bold"/>
          <w:b/>
          <w:bCs/>
          <w:lang w:val="en-GB"/>
        </w:rPr>
        <w:t>x </w:t>
      </w:r>
      <w:r>
        <w:rPr>
          <w:lang w:val="en-GB"/>
        </w:rPr>
        <w:t>= </w:t>
      </w:r>
      <w:r w:rsidRPr="006E4900">
        <w:rPr>
          <w:lang w:val="en-GB"/>
        </w:rPr>
        <w:t>(</w:t>
      </w:r>
      <w:r>
        <w:rPr>
          <w:rFonts w:ascii="PLMathItalic12-Italic" w:hAnsi="PLMathItalic12-Italic" w:cs="PLMathItalic12-Italic"/>
          <w:i/>
          <w:iCs/>
          <w:lang w:val="en-GB"/>
        </w:rPr>
        <w:t>x, </w:t>
      </w:r>
      <w:r w:rsidRPr="006E4900">
        <w:rPr>
          <w:rFonts w:ascii="PLMathItalic12-Italic" w:hAnsi="PLMathItalic12-Italic" w:cs="PLMathItalic12-Italic"/>
          <w:i/>
          <w:iCs/>
          <w:lang w:val="en-GB"/>
        </w:rPr>
        <w:t>y</w:t>
      </w:r>
      <w:r>
        <w:rPr>
          <w:rFonts w:ascii="PLMathItalic12-Italic" w:hAnsi="PLMathItalic12-Italic" w:cs="PLMathItalic12-Italic"/>
          <w:i/>
          <w:iCs/>
          <w:lang w:val="en-GB"/>
        </w:rPr>
        <w:t>, z</w:t>
      </w:r>
      <w:r w:rsidRPr="006E4900">
        <w:rPr>
          <w:lang w:val="en-GB"/>
        </w:rPr>
        <w:t>)</w:t>
      </w:r>
      <w:r>
        <w:rPr>
          <w:lang w:val="en-GB"/>
        </w:rPr>
        <w:t xml:space="preserve"> – position vector, </w:t>
      </w:r>
      <w:r w:rsidRPr="006E4900">
        <w:rPr>
          <w:rFonts w:ascii="PLRoman12-Bold" w:hAnsi="PLRoman12-Bold" w:cs="PLRoman12-Bold"/>
          <w:b/>
          <w:bCs/>
          <w:lang w:val="en-GB"/>
        </w:rPr>
        <w:t>D</w:t>
      </w:r>
      <w:r w:rsidRPr="006E4900">
        <w:rPr>
          <w:lang w:val="en-GB"/>
        </w:rPr>
        <w:t xml:space="preserve"> –</w:t>
      </w:r>
      <w:r>
        <w:rPr>
          <w:lang w:val="en-GB"/>
        </w:rPr>
        <w:t xml:space="preserve"> diffusion tensor)</w:t>
      </w:r>
      <w:r w:rsidR="00B65E62">
        <w:t>;</w:t>
      </w:r>
    </w:p>
    <w:p w:rsidR="00B65E62" w:rsidRDefault="00B65E62" w:rsidP="00B65E62">
      <w:pPr>
        <w:pStyle w:val="BulletItem"/>
      </w:pPr>
      <w:proofErr w:type="gramStart"/>
      <w:r w:rsidRPr="00B65E62">
        <w:lastRenderedPageBreak/>
        <w:t>symbol</w:t>
      </w:r>
      <w:proofErr w:type="gramEnd"/>
      <w:r w:rsidRPr="00B65E62">
        <w:t xml:space="preserve"> fo</w:t>
      </w:r>
      <w:r>
        <w:t>r the decimal marker is the dot</w:t>
      </w:r>
      <w:r w:rsidRPr="00B65E62">
        <w:t>.</w:t>
      </w:r>
    </w:p>
    <w:p w:rsidR="00401A1F" w:rsidRDefault="00401A1F" w:rsidP="00401A1F">
      <w:pPr>
        <w:pStyle w:val="heading2"/>
        <w:numPr>
          <w:ilvl w:val="1"/>
          <w:numId w:val="39"/>
        </w:numPr>
      </w:pPr>
      <w:r>
        <w:t>Technical Terms, Abbreviations</w:t>
      </w:r>
    </w:p>
    <w:p w:rsidR="00401A1F" w:rsidRDefault="00401A1F" w:rsidP="00CE2AAD">
      <w:pPr>
        <w:pStyle w:val="p1a"/>
      </w:pPr>
      <w:r>
        <w:t>Ensure that the spelling of names, terms, and abbreviations is consistent, including in tables and figure legends.</w:t>
      </w:r>
      <w:r w:rsidR="00CE2AAD">
        <w:t xml:space="preserve"> </w:t>
      </w:r>
      <w:r>
        <w:t>Abbreviations, except for very common ones, must be defined the first time they are used, and a list supplied with the manuscript.</w:t>
      </w:r>
      <w:r w:rsidR="00CE2AAD">
        <w:t xml:space="preserve"> </w:t>
      </w:r>
      <w:r>
        <w:t>Chemical compounds should be named according to the systematic rules of the</w:t>
      </w:r>
    </w:p>
    <w:p w:rsidR="00401A1F" w:rsidRDefault="00401A1F" w:rsidP="00CE2AAD">
      <w:pPr>
        <w:pStyle w:val="p1a"/>
      </w:pPr>
      <w:r>
        <w:t>IUPAC or Chemical Abstracts.</w:t>
      </w:r>
    </w:p>
    <w:p w:rsidR="007D4EE0" w:rsidRDefault="007D4EE0" w:rsidP="007D4EE0">
      <w:pPr>
        <w:pStyle w:val="heading2"/>
      </w:pPr>
      <w:r>
        <w:t>2.5 Sources</w:t>
      </w:r>
    </w:p>
    <w:p w:rsidR="007D4EE0" w:rsidRDefault="007D4EE0" w:rsidP="007D4EE0">
      <w:pPr>
        <w:pStyle w:val="p1a"/>
      </w:pPr>
      <w:r>
        <w:t xml:space="preserve">If you copy text passages, figures, or tables from other works, you must obtain permission from the copyright holder (usually the original publisher) for both the print and online format. Please enclose the signed permission with the manuscript. Please be aware that some publishers do not grant electronic rights for free and that Springer will not be able to refund any costs that may have been incurred in receiving these permissions. </w:t>
      </w:r>
    </w:p>
    <w:p w:rsidR="009023BE" w:rsidRPr="009772D1" w:rsidRDefault="009023BE" w:rsidP="009023BE">
      <w:pPr>
        <w:pStyle w:val="acknowledgements"/>
      </w:pPr>
      <w:r w:rsidRPr="007345D6">
        <w:rPr>
          <w:b/>
        </w:rPr>
        <w:t>Acknowledgements:</w:t>
      </w:r>
      <w:r w:rsidRPr="007345D6">
        <w:t xml:space="preserve"> This study has been financed by </w:t>
      </w:r>
      <w:proofErr w:type="gramStart"/>
      <w:r w:rsidR="00B52F4F">
        <w:t>… .</w:t>
      </w:r>
      <w:proofErr w:type="gramEnd"/>
    </w:p>
    <w:p w:rsidR="009023BE" w:rsidRPr="009023BE" w:rsidRDefault="009023BE" w:rsidP="009023BE">
      <w:pPr>
        <w:pStyle w:val="heading1"/>
      </w:pPr>
      <w:r w:rsidRPr="009023BE">
        <w:t>References</w:t>
      </w:r>
    </w:p>
    <w:p w:rsidR="009023BE" w:rsidRPr="009023BE" w:rsidRDefault="009023BE" w:rsidP="009023BE">
      <w:pPr>
        <w:pStyle w:val="references"/>
      </w:pPr>
      <w:proofErr w:type="spellStart"/>
      <w:r w:rsidRPr="009023BE">
        <w:t>Ghimire</w:t>
      </w:r>
      <w:proofErr w:type="spellEnd"/>
      <w:r w:rsidRPr="009023BE">
        <w:t xml:space="preserve"> B, Deng Z (2013) Event flow hydrograph-based method for modeling sediment transport. Journal of Hy</w:t>
      </w:r>
      <w:r w:rsidR="00DD6610">
        <w:t>drologic Engineering 18(8): 919-</w:t>
      </w:r>
      <w:r w:rsidRPr="009023BE">
        <w:t>928</w:t>
      </w:r>
    </w:p>
    <w:p w:rsidR="009023BE" w:rsidRPr="009023BE" w:rsidRDefault="009023BE" w:rsidP="009023BE">
      <w:pPr>
        <w:pStyle w:val="references"/>
      </w:pPr>
      <w:proofErr w:type="spellStart"/>
      <w:r w:rsidRPr="009023BE">
        <w:t>Mrokowska</w:t>
      </w:r>
      <w:proofErr w:type="spellEnd"/>
      <w:r w:rsidRPr="009023BE">
        <w:t xml:space="preserve"> MM, Rowiński PM, Kalinowska MB (2015) </w:t>
      </w:r>
      <w:proofErr w:type="gramStart"/>
      <w:r w:rsidRPr="009023BE">
        <w:t>A</w:t>
      </w:r>
      <w:proofErr w:type="gramEnd"/>
      <w:r w:rsidRPr="009023BE">
        <w:t xml:space="preserve"> methodological approach of estimating resistance to flow under unsteady flow conditions, Hydrology and Earth System Sciences, 19, 4041-4053</w:t>
      </w:r>
    </w:p>
    <w:p w:rsidR="009023BE" w:rsidRPr="009023BE" w:rsidRDefault="009023BE" w:rsidP="009023BE">
      <w:pPr>
        <w:pStyle w:val="references"/>
      </w:pPr>
      <w:r w:rsidRPr="009023BE">
        <w:t>Parker G, Toro-Escobar CM, Ramey M, Beck S (2003) Effect of floodwater extraction on mountain stream morphology. Journal of Hyd</w:t>
      </w:r>
      <w:r w:rsidR="00DD6610">
        <w:t>raulic Engineering 129(11): 885-</w:t>
      </w:r>
      <w:r w:rsidRPr="009023BE">
        <w:t>895</w:t>
      </w:r>
    </w:p>
    <w:p w:rsidR="009023BE" w:rsidRPr="009023BE" w:rsidRDefault="009023BE" w:rsidP="009023BE">
      <w:pPr>
        <w:pStyle w:val="references"/>
      </w:pPr>
      <w:r w:rsidRPr="009023BE">
        <w:t xml:space="preserve">Press WH, Flannery B, </w:t>
      </w:r>
      <w:proofErr w:type="spellStart"/>
      <w:r w:rsidRPr="009023BE">
        <w:t>Teukolsky</w:t>
      </w:r>
      <w:proofErr w:type="spellEnd"/>
      <w:r w:rsidRPr="009023BE">
        <w:t xml:space="preserve"> SA, </w:t>
      </w:r>
      <w:proofErr w:type="spellStart"/>
      <w:r w:rsidRPr="009023BE">
        <w:t>Vetterling</w:t>
      </w:r>
      <w:proofErr w:type="spellEnd"/>
      <w:r w:rsidRPr="009023BE">
        <w:t xml:space="preserve"> W (2007) </w:t>
      </w:r>
      <w:proofErr w:type="spellStart"/>
      <w:r w:rsidRPr="009023BE">
        <w:t>Savitzky-Golay</w:t>
      </w:r>
      <w:proofErr w:type="spellEnd"/>
      <w:r w:rsidRPr="009023BE">
        <w:t xml:space="preserve"> smoothing filters. In: Numerical Recipes in C. The art of scientific computing. Cambridge University Press, pp 650-655 </w:t>
      </w:r>
    </w:p>
    <w:p w:rsidR="009023BE" w:rsidRPr="009023BE" w:rsidRDefault="009023BE" w:rsidP="009023BE">
      <w:pPr>
        <w:pStyle w:val="references"/>
      </w:pPr>
      <w:r w:rsidRPr="009023BE">
        <w:t xml:space="preserve">Qu Z (2002) </w:t>
      </w:r>
      <w:proofErr w:type="gramStart"/>
      <w:r w:rsidRPr="009023BE">
        <w:t>Unsteady</w:t>
      </w:r>
      <w:proofErr w:type="gramEnd"/>
      <w:r w:rsidRPr="009023BE">
        <w:t xml:space="preserve"> open-channel flow over a mobile bed. Ph.D. thesis, No. 2688, </w:t>
      </w:r>
      <w:proofErr w:type="spellStart"/>
      <w:r w:rsidRPr="009023BE">
        <w:t>École</w:t>
      </w:r>
      <w:proofErr w:type="spellEnd"/>
      <w:r w:rsidRPr="009023BE">
        <w:t xml:space="preserve"> </w:t>
      </w:r>
      <w:proofErr w:type="spellStart"/>
      <w:r w:rsidRPr="009023BE">
        <w:t>Polytechnique</w:t>
      </w:r>
      <w:proofErr w:type="spellEnd"/>
      <w:r w:rsidRPr="009023BE">
        <w:t xml:space="preserve"> </w:t>
      </w:r>
      <w:proofErr w:type="spellStart"/>
      <w:r w:rsidRPr="009023BE">
        <w:t>Fédérale</w:t>
      </w:r>
      <w:proofErr w:type="spellEnd"/>
      <w:r w:rsidRPr="009023BE">
        <w:t xml:space="preserve"> de Lausanne, Lausanne, Switzerland</w:t>
      </w:r>
    </w:p>
    <w:p w:rsidR="009023BE" w:rsidRPr="009023BE" w:rsidRDefault="009023BE" w:rsidP="009023BE">
      <w:pPr>
        <w:pStyle w:val="references"/>
      </w:pPr>
      <w:r w:rsidRPr="009023BE">
        <w:t xml:space="preserve">Rowiński PM, Czernuszenko W, </w:t>
      </w:r>
      <w:proofErr w:type="spellStart"/>
      <w:r w:rsidRPr="009023BE">
        <w:t>Pretre</w:t>
      </w:r>
      <w:proofErr w:type="spellEnd"/>
      <w:r w:rsidRPr="009023BE">
        <w:t xml:space="preserve"> JM (2000) Time dependent shear velocities in channel routing. Hydrologi</w:t>
      </w:r>
      <w:r w:rsidR="00DD6610">
        <w:t>cal Sciences Journal 45(6): 881-</w:t>
      </w:r>
      <w:r w:rsidRPr="009023BE">
        <w:t>895</w:t>
      </w:r>
    </w:p>
    <w:sectPr w:rsidR="009023BE" w:rsidRPr="009023BE" w:rsidSect="00071073">
      <w:headerReference w:type="even" r:id="rId14"/>
      <w:headerReference w:type="default" r:id="rId15"/>
      <w:footerReference w:type="first" r:id="rId16"/>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20E" w:rsidRDefault="0079720E">
      <w:r>
        <w:separator/>
      </w:r>
    </w:p>
  </w:endnote>
  <w:endnote w:type="continuationSeparator" w:id="0">
    <w:p w:rsidR="0079720E" w:rsidRDefault="0079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imes">
    <w:altName w:val="Times New Roman"/>
    <w:panose1 w:val="02020603050405020304"/>
    <w:charset w:val="EE"/>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24541DE0-6268-4B6D-9093-B7084B31E6EC}"/>
  </w:font>
  <w:font w:name="PLMathItalic12-Italic">
    <w:altName w:val="Times New Roman"/>
    <w:charset w:val="00"/>
    <w:family w:val="auto"/>
    <w:pitch w:val="default"/>
  </w:font>
  <w:font w:name="PLRoman12-Bold">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embedRegular r:id="rId2" w:fontKey="{E565765B-C940-4CF3-83D6-A98DC92F428F}"/>
  </w:font>
  <w:font w:name="Calibri">
    <w:panose1 w:val="020F0502020204030204"/>
    <w:charset w:val="EE"/>
    <w:family w:val="swiss"/>
    <w:pitch w:val="variable"/>
    <w:sig w:usb0="E00002FF" w:usb1="4000ACFF" w:usb2="00000001" w:usb3="00000000" w:csb0="0000019F" w:csb1="00000000"/>
    <w:embedRegular r:id="rId3" w:fontKey="{56CBFA09-AA38-4B87-BE2C-E1FAB0BC65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9A9" w:rsidRDefault="00B519A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20E" w:rsidRDefault="0079720E">
      <w:pPr>
        <w:pStyle w:val="p1a"/>
      </w:pPr>
      <w:r>
        <w:separator/>
      </w:r>
    </w:p>
  </w:footnote>
  <w:footnote w:type="continuationSeparator" w:id="0">
    <w:p w:rsidR="0079720E" w:rsidRDefault="0079720E">
      <w:r>
        <w:continuationSeparator/>
      </w:r>
    </w:p>
  </w:footnote>
  <w:footnote w:id="1">
    <w:p w:rsidR="00F00D5A" w:rsidRDefault="00F00D5A" w:rsidP="00F00D5A">
      <w:pPr>
        <w:pStyle w:val="affiliation"/>
      </w:pPr>
      <w:r>
        <w:rPr>
          <w:rStyle w:val="Odwoanieprzypisudolnego"/>
        </w:rPr>
        <w:footnoteRef/>
      </w:r>
      <w:r>
        <w:t xml:space="preserve"> Author1 </w:t>
      </w:r>
      <w:r w:rsidRPr="007345D6">
        <w:t>(corresponding author)</w:t>
      </w:r>
      <w:r>
        <w:t>, Author2</w:t>
      </w:r>
    </w:p>
    <w:p w:rsidR="00F00D5A" w:rsidRDefault="00F00D5A" w:rsidP="00F00D5A">
      <w:pPr>
        <w:pStyle w:val="affiliation"/>
      </w:pPr>
      <w:r>
        <w:t>Institution, Address</w:t>
      </w:r>
    </w:p>
    <w:p w:rsidR="00F00D5A" w:rsidRPr="00F00D5A" w:rsidRDefault="00F00D5A" w:rsidP="00F00D5A">
      <w:pPr>
        <w:pStyle w:val="affiliation"/>
        <w:rPr>
          <w:color w:val="0000FF"/>
          <w:u w:val="single"/>
        </w:rPr>
      </w:pPr>
      <w:r>
        <w:t xml:space="preserve">e-mail: </w:t>
      </w:r>
      <w:r w:rsidR="00983F24">
        <w:t>corresponding.</w:t>
      </w:r>
      <w:r w:rsidR="00983F24" w:rsidRPr="007345D6">
        <w:t>author</w:t>
      </w:r>
      <w:r w:rsidR="00983F24">
        <w:t>@email.com</w:t>
      </w:r>
    </w:p>
  </w:footnote>
  <w:footnote w:id="2">
    <w:p w:rsidR="00F00D5A" w:rsidRDefault="00F00D5A" w:rsidP="00F00D5A">
      <w:pPr>
        <w:pStyle w:val="affiliation"/>
      </w:pPr>
      <w:r>
        <w:rPr>
          <w:rStyle w:val="Odwoanieprzypisudolnego"/>
        </w:rPr>
        <w:footnoteRef/>
      </w:r>
      <w:r>
        <w:t xml:space="preserve"> Author3</w:t>
      </w:r>
    </w:p>
    <w:p w:rsidR="00F00D5A" w:rsidRPr="00983F24" w:rsidRDefault="00F00D5A" w:rsidP="00F00D5A">
      <w:pPr>
        <w:pStyle w:val="affiliation"/>
      </w:pPr>
      <w:r>
        <w:t>Institution, Address</w:t>
      </w:r>
    </w:p>
    <w:p w:rsidR="00F00D5A" w:rsidRPr="00983F24" w:rsidRDefault="00F00D5A">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Default="00B97ED3">
    <w:pPr>
      <w:pStyle w:val="Runninghead-left"/>
    </w:pPr>
    <w:r>
      <w:fldChar w:fldCharType="begin"/>
    </w:r>
    <w:r>
      <w:instrText xml:space="preserve"> PAGE  \* MERGEFORMAT </w:instrText>
    </w:r>
    <w:r>
      <w:fldChar w:fldCharType="separate"/>
    </w:r>
    <w:r w:rsidR="00C9731F">
      <w:rPr>
        <w:noProof/>
      </w:rPr>
      <w:t>4</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Default="00B97ED3">
    <w:pPr>
      <w:pStyle w:val="Runninghead-right"/>
    </w:pPr>
    <w:r>
      <w:fldChar w:fldCharType="begin"/>
    </w:r>
    <w:r>
      <w:instrText xml:space="preserve"> PAGE  \* MERGEFORMAT </w:instrText>
    </w:r>
    <w:r>
      <w:fldChar w:fldCharType="separate"/>
    </w:r>
    <w:r w:rsidR="00C9731F">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C7C64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7E838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2CEFC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7A888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28C6E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9601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12F7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2C6B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AE09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ECF0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1" w15:restartNumberingAfterBreak="0">
    <w:nsid w:val="FFFFFFFE"/>
    <w:multiLevelType w:val="singleLevel"/>
    <w:tmpl w:val="7A8E2DA8"/>
    <w:lvl w:ilvl="0">
      <w:numFmt w:val="decimal"/>
      <w:lvlText w:val="*"/>
      <w:lvlJc w:val="left"/>
    </w:lvl>
  </w:abstractNum>
  <w:abstractNum w:abstractNumId="12" w15:restartNumberingAfterBreak="0">
    <w:nsid w:val="15E17B12"/>
    <w:multiLevelType w:val="multilevel"/>
    <w:tmpl w:val="6F0E01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8D42BE"/>
    <w:multiLevelType w:val="multilevel"/>
    <w:tmpl w:val="81BE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17" w15:restartNumberingAfterBreak="0">
    <w:nsid w:val="378F22FB"/>
    <w:multiLevelType w:val="multilevel"/>
    <w:tmpl w:val="6012045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B107D9"/>
    <w:multiLevelType w:val="hybridMultilevel"/>
    <w:tmpl w:val="A6ACA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21"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20"/>
  </w:num>
  <w:num w:numId="4">
    <w:abstractNumId w:val="1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13"/>
  </w:num>
  <w:num w:numId="7">
    <w:abstractNumId w:val="21"/>
  </w:num>
  <w:num w:numId="8">
    <w:abstractNumId w:val="16"/>
  </w:num>
  <w:num w:numId="9">
    <w:abstractNumId w:val="13"/>
  </w:num>
  <w:num w:numId="10">
    <w:abstractNumId w:val="21"/>
  </w:num>
  <w:num w:numId="11">
    <w:abstractNumId w:val="18"/>
  </w:num>
  <w:num w:numId="12">
    <w:abstractNumId w:val="10"/>
  </w:num>
  <w:num w:numId="13">
    <w:abstractNumId w:val="18"/>
  </w:num>
  <w:num w:numId="14">
    <w:abstractNumId w:val="10"/>
  </w:num>
  <w:num w:numId="15">
    <w:abstractNumId w:val="10"/>
  </w:num>
  <w:num w:numId="16">
    <w:abstractNumId w:val="18"/>
  </w:num>
  <w:num w:numId="17">
    <w:abstractNumId w:val="10"/>
  </w:num>
  <w:num w:numId="18">
    <w:abstractNumId w:val="10"/>
  </w:num>
  <w:num w:numId="19">
    <w:abstractNumId w:val="21"/>
  </w:num>
  <w:num w:numId="20">
    <w:abstractNumId w:val="21"/>
  </w:num>
  <w:num w:numId="21">
    <w:abstractNumId w:val="21"/>
  </w:num>
  <w:num w:numId="22">
    <w:abstractNumId w:val="14"/>
  </w:num>
  <w:num w:numId="23">
    <w:abstractNumId w:val="14"/>
  </w:num>
  <w:num w:numId="24">
    <w:abstractNumId w:val="14"/>
  </w:num>
  <w:num w:numId="25">
    <w:abstractNumId w:val="1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9"/>
  </w:num>
  <w:num w:numId="37">
    <w:abstractNumId w:val="15"/>
  </w:num>
  <w:num w:numId="38">
    <w:abstractNumId w:val="12"/>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embedTrueTypeFonts/>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073"/>
    <w:rsid w:val="00005F1B"/>
    <w:rsid w:val="0004082B"/>
    <w:rsid w:val="00044A53"/>
    <w:rsid w:val="00071073"/>
    <w:rsid w:val="000E0820"/>
    <w:rsid w:val="00103A73"/>
    <w:rsid w:val="001B5AA2"/>
    <w:rsid w:val="001D0B49"/>
    <w:rsid w:val="001D73DE"/>
    <w:rsid w:val="00226F60"/>
    <w:rsid w:val="00236209"/>
    <w:rsid w:val="00247859"/>
    <w:rsid w:val="002B4A13"/>
    <w:rsid w:val="002C5E64"/>
    <w:rsid w:val="002D0ED1"/>
    <w:rsid w:val="002F2934"/>
    <w:rsid w:val="00306BEE"/>
    <w:rsid w:val="003147FD"/>
    <w:rsid w:val="00360E7F"/>
    <w:rsid w:val="003B474B"/>
    <w:rsid w:val="00401A1F"/>
    <w:rsid w:val="00405E55"/>
    <w:rsid w:val="00410267"/>
    <w:rsid w:val="004552DA"/>
    <w:rsid w:val="0046154C"/>
    <w:rsid w:val="00493C8D"/>
    <w:rsid w:val="004C1B4C"/>
    <w:rsid w:val="004F12B1"/>
    <w:rsid w:val="005363B8"/>
    <w:rsid w:val="00544A38"/>
    <w:rsid w:val="00583E41"/>
    <w:rsid w:val="00594390"/>
    <w:rsid w:val="005C319B"/>
    <w:rsid w:val="006139F1"/>
    <w:rsid w:val="00660835"/>
    <w:rsid w:val="006620E7"/>
    <w:rsid w:val="00680383"/>
    <w:rsid w:val="006829A3"/>
    <w:rsid w:val="00684457"/>
    <w:rsid w:val="006A574A"/>
    <w:rsid w:val="006B12A4"/>
    <w:rsid w:val="006D6414"/>
    <w:rsid w:val="006E3B89"/>
    <w:rsid w:val="006E723D"/>
    <w:rsid w:val="00722F8A"/>
    <w:rsid w:val="00723352"/>
    <w:rsid w:val="007657BF"/>
    <w:rsid w:val="00765AD1"/>
    <w:rsid w:val="00772BBE"/>
    <w:rsid w:val="00791BDF"/>
    <w:rsid w:val="0079720E"/>
    <w:rsid w:val="007A2AD6"/>
    <w:rsid w:val="007C5BE7"/>
    <w:rsid w:val="007D4EE0"/>
    <w:rsid w:val="007D6E98"/>
    <w:rsid w:val="008603F5"/>
    <w:rsid w:val="008662CD"/>
    <w:rsid w:val="008B34DB"/>
    <w:rsid w:val="008C0390"/>
    <w:rsid w:val="008E2B14"/>
    <w:rsid w:val="009023BE"/>
    <w:rsid w:val="0090334B"/>
    <w:rsid w:val="0091061C"/>
    <w:rsid w:val="00917A68"/>
    <w:rsid w:val="009520AA"/>
    <w:rsid w:val="00954D64"/>
    <w:rsid w:val="00972210"/>
    <w:rsid w:val="00976926"/>
    <w:rsid w:val="00981089"/>
    <w:rsid w:val="00983F24"/>
    <w:rsid w:val="00993871"/>
    <w:rsid w:val="009960F7"/>
    <w:rsid w:val="009A5235"/>
    <w:rsid w:val="009B05E4"/>
    <w:rsid w:val="009D04DB"/>
    <w:rsid w:val="00A1344F"/>
    <w:rsid w:val="00A7006D"/>
    <w:rsid w:val="00A72563"/>
    <w:rsid w:val="00A86683"/>
    <w:rsid w:val="00AC078B"/>
    <w:rsid w:val="00AC38BA"/>
    <w:rsid w:val="00AC5D93"/>
    <w:rsid w:val="00B065E8"/>
    <w:rsid w:val="00B26EDA"/>
    <w:rsid w:val="00B5108A"/>
    <w:rsid w:val="00B519A9"/>
    <w:rsid w:val="00B52F4F"/>
    <w:rsid w:val="00B5459D"/>
    <w:rsid w:val="00B61139"/>
    <w:rsid w:val="00B65E62"/>
    <w:rsid w:val="00B8390B"/>
    <w:rsid w:val="00B97ED3"/>
    <w:rsid w:val="00BD3B48"/>
    <w:rsid w:val="00BD3DBF"/>
    <w:rsid w:val="00BF2C5E"/>
    <w:rsid w:val="00C22245"/>
    <w:rsid w:val="00C7344F"/>
    <w:rsid w:val="00C80051"/>
    <w:rsid w:val="00C921ED"/>
    <w:rsid w:val="00C92D43"/>
    <w:rsid w:val="00C9597D"/>
    <w:rsid w:val="00C9731F"/>
    <w:rsid w:val="00CC0309"/>
    <w:rsid w:val="00CD548C"/>
    <w:rsid w:val="00CE2AAD"/>
    <w:rsid w:val="00D27CCD"/>
    <w:rsid w:val="00D4758B"/>
    <w:rsid w:val="00D52D3D"/>
    <w:rsid w:val="00D648B7"/>
    <w:rsid w:val="00DB6263"/>
    <w:rsid w:val="00DC05FD"/>
    <w:rsid w:val="00DD6610"/>
    <w:rsid w:val="00E359E3"/>
    <w:rsid w:val="00E35DEA"/>
    <w:rsid w:val="00E84C3A"/>
    <w:rsid w:val="00EA44D1"/>
    <w:rsid w:val="00EB6306"/>
    <w:rsid w:val="00ED6CDE"/>
    <w:rsid w:val="00F00D5A"/>
    <w:rsid w:val="00F04559"/>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0F4051A-9138-4713-A6DC-DF3C3BF34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71073"/>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Nagwek1">
    <w:name w:val="heading 1"/>
    <w:basedOn w:val="Normalny"/>
    <w:next w:val="Normalny"/>
    <w:qFormat/>
    <w:pPr>
      <w:keepNext/>
      <w:spacing w:after="240"/>
      <w:outlineLvl w:val="0"/>
    </w:pPr>
    <w:rPr>
      <w:rFonts w:ascii="Arial" w:hAnsi="Arial"/>
      <w:b/>
      <w:bCs/>
      <w:sz w:val="28"/>
      <w:szCs w:val="24"/>
    </w:rPr>
  </w:style>
  <w:style w:type="paragraph" w:styleId="Nagwek2">
    <w:name w:val="heading 2"/>
    <w:basedOn w:val="Normalny"/>
    <w:next w:val="Normalny"/>
    <w:qFormat/>
    <w:pPr>
      <w:keepNext/>
      <w:spacing w:before="240" w:after="120"/>
      <w:outlineLvl w:val="1"/>
    </w:pPr>
    <w:rPr>
      <w:rFonts w:ascii="Arial" w:hAnsi="Arial"/>
      <w:b/>
    </w:rPr>
  </w:style>
  <w:style w:type="paragraph" w:styleId="Nagwek3">
    <w:name w:val="heading 3"/>
    <w:basedOn w:val="Normalny"/>
    <w:next w:val="Normalny"/>
    <w:qFormat/>
    <w:pPr>
      <w:keepNext/>
      <w:spacing w:before="180" w:after="120"/>
      <w:outlineLvl w:val="2"/>
    </w:pPr>
    <w:rPr>
      <w:rFonts w:ascii="Arial" w:hAnsi="Arial" w:cs="Arial"/>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rPr>
      <w:sz w:val="20"/>
    </w:rPr>
  </w:style>
  <w:style w:type="paragraph" w:customStyle="1" w:styleId="Runninghead-left">
    <w:name w:val="Running head - left"/>
    <w:basedOn w:val="Normalny"/>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ny"/>
    <w:next w:val="Normalny"/>
    <w:rsid w:val="00583E41"/>
    <w:pPr>
      <w:suppressAutoHyphens/>
      <w:spacing w:before="480" w:after="220"/>
      <w:ind w:firstLine="0"/>
      <w:jc w:val="left"/>
    </w:pPr>
    <w:rPr>
      <w:b/>
    </w:rPr>
  </w:style>
  <w:style w:type="paragraph" w:customStyle="1" w:styleId="table">
    <w:name w:val="table"/>
    <w:basedOn w:val="Normalny"/>
    <w:rsid w:val="00D52D3D"/>
    <w:pPr>
      <w:spacing w:before="60" w:line="200" w:lineRule="atLeast"/>
      <w:ind w:firstLine="0"/>
      <w:jc w:val="left"/>
    </w:pPr>
    <w:rPr>
      <w:sz w:val="17"/>
      <w:szCs w:val="18"/>
    </w:rPr>
  </w:style>
  <w:style w:type="paragraph" w:customStyle="1" w:styleId="equation">
    <w:name w:val="equation"/>
    <w:basedOn w:val="Normalny"/>
    <w:next w:val="Normalny"/>
    <w:link w:val="equationZnak"/>
    <w:rsid w:val="00B97ED3"/>
    <w:pPr>
      <w:tabs>
        <w:tab w:val="center" w:pos="3204"/>
        <w:tab w:val="right" w:pos="6634"/>
      </w:tabs>
      <w:spacing w:before="240" w:after="240"/>
      <w:ind w:firstLine="0"/>
      <w:jc w:val="left"/>
    </w:pPr>
  </w:style>
  <w:style w:type="paragraph" w:customStyle="1" w:styleId="figlegend">
    <w:name w:val="figlegend"/>
    <w:basedOn w:val="Normalny"/>
    <w:next w:val="Normalny"/>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ny"/>
    <w:next w:val="Normalny"/>
    <w:pPr>
      <w:ind w:firstLine="0"/>
    </w:pPr>
  </w:style>
  <w:style w:type="character" w:styleId="Odwoanieprzypisudolnego">
    <w:name w:val="footnote reference"/>
    <w:semiHidden/>
    <w:rPr>
      <w:position w:val="6"/>
      <w:sz w:val="12"/>
      <w:vertAlign w:val="baseline"/>
    </w:rPr>
  </w:style>
  <w:style w:type="paragraph" w:customStyle="1" w:styleId="heading1">
    <w:name w:val="heading1"/>
    <w:basedOn w:val="Normalny"/>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ny"/>
    <w:rsid w:val="00EA44D1"/>
    <w:pPr>
      <w:numPr>
        <w:numId w:val="25"/>
      </w:numPr>
      <w:spacing w:before="120" w:after="120"/>
      <w:contextualSpacing/>
    </w:pPr>
  </w:style>
  <w:style w:type="paragraph" w:customStyle="1" w:styleId="petit">
    <w:name w:val="petit"/>
    <w:basedOn w:val="Normalny"/>
    <w:rsid w:val="00D27CCD"/>
    <w:pPr>
      <w:spacing w:before="120" w:after="120" w:line="200" w:lineRule="atLeast"/>
    </w:pPr>
    <w:rPr>
      <w:sz w:val="17"/>
    </w:rPr>
  </w:style>
  <w:style w:type="paragraph" w:customStyle="1" w:styleId="reference">
    <w:name w:val="reference"/>
    <w:basedOn w:val="Normalny"/>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ny"/>
    <w:next w:val="Normalny"/>
    <w:rsid w:val="00D52D3D"/>
    <w:pPr>
      <w:keepNext/>
      <w:keepLines/>
      <w:spacing w:before="240" w:after="120" w:line="200" w:lineRule="atLeast"/>
      <w:ind w:firstLine="0"/>
    </w:pPr>
    <w:rPr>
      <w:sz w:val="17"/>
    </w:rPr>
  </w:style>
  <w:style w:type="paragraph" w:customStyle="1" w:styleId="tablenotes">
    <w:name w:val="tablenotes"/>
    <w:basedOn w:val="Normalny"/>
    <w:next w:val="Normalny"/>
    <w:rsid w:val="00D52D3D"/>
    <w:pPr>
      <w:widowControl w:val="0"/>
      <w:spacing w:before="20" w:line="200" w:lineRule="atLeast"/>
      <w:ind w:firstLine="0"/>
      <w:jc w:val="left"/>
    </w:pPr>
    <w:rPr>
      <w:sz w:val="17"/>
    </w:rPr>
  </w:style>
  <w:style w:type="paragraph" w:customStyle="1" w:styleId="Tytu1">
    <w:name w:val="Tytuł1"/>
    <w:basedOn w:val="Normalny"/>
    <w:next w:val="p1a"/>
    <w:rsid w:val="000E0820"/>
    <w:pPr>
      <w:keepNext/>
      <w:keepLines/>
      <w:pageBreakBefore/>
      <w:tabs>
        <w:tab w:val="left" w:pos="284"/>
      </w:tabs>
      <w:suppressAutoHyphens/>
      <w:spacing w:line="360" w:lineRule="atLeast"/>
      <w:ind w:firstLine="0"/>
      <w:jc w:val="left"/>
    </w:pPr>
    <w:rPr>
      <w:b/>
      <w:sz w:val="32"/>
    </w:rPr>
  </w:style>
  <w:style w:type="paragraph" w:styleId="Spistreci1">
    <w:name w:val="toc 1"/>
    <w:basedOn w:val="Normalny"/>
    <w:next w:val="petit"/>
    <w:semiHidden/>
    <w:pPr>
      <w:tabs>
        <w:tab w:val="right" w:leader="dot" w:pos="6634"/>
      </w:tabs>
      <w:spacing w:before="240"/>
      <w:ind w:firstLine="0"/>
      <w:jc w:val="left"/>
    </w:pPr>
    <w:rPr>
      <w:b/>
    </w:rPr>
  </w:style>
  <w:style w:type="paragraph" w:styleId="Spistreci2">
    <w:name w:val="toc 2"/>
    <w:basedOn w:val="Spistreci1"/>
    <w:semiHidden/>
    <w:pPr>
      <w:spacing w:before="0"/>
      <w:ind w:left="284"/>
    </w:pPr>
    <w:rPr>
      <w:b w:val="0"/>
    </w:rPr>
  </w:style>
  <w:style w:type="paragraph" w:styleId="Spistreci3">
    <w:name w:val="toc 3"/>
    <w:basedOn w:val="Spistreci1"/>
    <w:semiHidden/>
    <w:pPr>
      <w:spacing w:before="0"/>
      <w:ind w:left="510"/>
    </w:pPr>
    <w:rPr>
      <w:b w:val="0"/>
    </w:rPr>
  </w:style>
  <w:style w:type="paragraph" w:styleId="Indeks1">
    <w:name w:val="index 1"/>
    <w:basedOn w:val="petit"/>
    <w:semiHidden/>
    <w:rsid w:val="009960F7"/>
    <w:pPr>
      <w:spacing w:before="0" w:after="0"/>
      <w:ind w:left="720" w:hanging="720"/>
      <w:jc w:val="left"/>
    </w:pPr>
    <w:rPr>
      <w:szCs w:val="21"/>
    </w:rPr>
  </w:style>
  <w:style w:type="paragraph" w:styleId="Indeks2">
    <w:name w:val="index 2"/>
    <w:basedOn w:val="Indeks1"/>
    <w:semiHidden/>
    <w:rsid w:val="009960F7"/>
    <w:pPr>
      <w:ind w:left="958"/>
    </w:pPr>
  </w:style>
  <w:style w:type="paragraph" w:styleId="Indeks3">
    <w:name w:val="index 3"/>
    <w:basedOn w:val="Normalny"/>
    <w:next w:val="Normalny"/>
    <w:semiHidden/>
    <w:pPr>
      <w:ind w:left="660" w:hanging="220"/>
      <w:jc w:val="left"/>
    </w:pPr>
    <w:rPr>
      <w:szCs w:val="21"/>
    </w:rPr>
  </w:style>
  <w:style w:type="paragraph" w:styleId="Tekstprzypisudolnego">
    <w:name w:val="footnote text"/>
    <w:basedOn w:val="Normalny"/>
    <w:semiHidden/>
  </w:style>
  <w:style w:type="paragraph" w:styleId="Spistreci4">
    <w:name w:val="toc 4"/>
    <w:basedOn w:val="Spistreci3"/>
    <w:next w:val="Normalny"/>
    <w:semiHidden/>
    <w:rsid w:val="00772BBE"/>
    <w:pPr>
      <w:ind w:left="737"/>
    </w:pPr>
  </w:style>
  <w:style w:type="character" w:styleId="Hipercze">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Podtytu1">
    <w:name w:val="Podtytuł1"/>
    <w:basedOn w:val="Tytu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ny"/>
    <w:next w:val="Normalny"/>
    <w:rsid w:val="00B065E8"/>
    <w:pPr>
      <w:suppressAutoHyphens/>
      <w:spacing w:before="120" w:line="200" w:lineRule="atLeast"/>
      <w:ind w:left="238" w:firstLine="0"/>
      <w:jc w:val="left"/>
    </w:pPr>
    <w:rPr>
      <w:sz w:val="17"/>
    </w:rPr>
  </w:style>
  <w:style w:type="paragraph" w:customStyle="1" w:styleId="abstract">
    <w:name w:val="abstract"/>
    <w:basedOn w:val="Normalny"/>
    <w:next w:val="Normalny"/>
    <w:rsid w:val="00B61139"/>
    <w:pPr>
      <w:spacing w:before="480" w:after="480"/>
      <w:ind w:firstLine="0"/>
    </w:pPr>
  </w:style>
  <w:style w:type="paragraph" w:customStyle="1" w:styleId="quotation">
    <w:name w:val="quotation"/>
    <w:basedOn w:val="affiliation"/>
    <w:next w:val="Normalny"/>
    <w:rsid w:val="00044A53"/>
    <w:pPr>
      <w:spacing w:after="120"/>
      <w:ind w:right="238"/>
      <w:contextualSpacing/>
    </w:pPr>
  </w:style>
  <w:style w:type="paragraph" w:customStyle="1" w:styleId="acknowledgements">
    <w:name w:val="acknowledgements"/>
    <w:basedOn w:val="affiliation"/>
    <w:next w:val="Normalny"/>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ny"/>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StopkaZnak">
    <w:name w:val="Stopka Znak"/>
    <w:link w:val="Stopka"/>
    <w:uiPriority w:val="99"/>
    <w:rsid w:val="00B519A9"/>
    <w:rPr>
      <w:rFonts w:ascii="Times" w:hAnsi="Times"/>
      <w:lang w:eastAsia="de-DE"/>
    </w:rPr>
  </w:style>
  <w:style w:type="paragraph" w:styleId="Tekstdymka">
    <w:name w:val="Balloon Text"/>
    <w:basedOn w:val="Normalny"/>
    <w:link w:val="TekstdymkaZnak"/>
    <w:rsid w:val="00B519A9"/>
    <w:pPr>
      <w:spacing w:line="240" w:lineRule="auto"/>
    </w:pPr>
    <w:rPr>
      <w:rFonts w:ascii="Tahoma" w:hAnsi="Tahoma" w:cs="Tahoma"/>
      <w:sz w:val="16"/>
      <w:szCs w:val="16"/>
    </w:rPr>
  </w:style>
  <w:style w:type="character" w:customStyle="1" w:styleId="TekstdymkaZnak">
    <w:name w:val="Tekst dymka Znak"/>
    <w:link w:val="Tekstdymka"/>
    <w:rsid w:val="00B519A9"/>
    <w:rPr>
      <w:rFonts w:ascii="Tahoma" w:hAnsi="Tahoma" w:cs="Tahoma"/>
      <w:sz w:val="16"/>
      <w:szCs w:val="16"/>
      <w:lang w:eastAsia="de-DE"/>
    </w:rPr>
  </w:style>
  <w:style w:type="character" w:customStyle="1" w:styleId="equationZnak">
    <w:name w:val="equation Znak"/>
    <w:link w:val="equation"/>
    <w:rsid w:val="00765AD1"/>
    <w:rPr>
      <w:rFonts w:ascii="Times" w:hAnsi="Times"/>
      <w:lang w:eastAsia="de-DE"/>
    </w:rPr>
  </w:style>
  <w:style w:type="paragraph" w:customStyle="1" w:styleId="SHNoindenttext">
    <w:name w:val="SH No indent text"/>
    <w:basedOn w:val="Normalny"/>
    <w:next w:val="Normalny"/>
    <w:rsid w:val="002D0ED1"/>
    <w:pPr>
      <w:tabs>
        <w:tab w:val="left" w:pos="567"/>
        <w:tab w:val="left" w:pos="1843"/>
      </w:tabs>
      <w:overflowPunct/>
      <w:autoSpaceDE/>
      <w:autoSpaceDN/>
      <w:adjustRightInd/>
      <w:spacing w:before="120" w:line="240" w:lineRule="auto"/>
      <w:ind w:firstLine="0"/>
      <w:textAlignment w:val="auto"/>
    </w:pPr>
    <w:rPr>
      <w:rFonts w:ascii="Times New Roman" w:hAnsi="Times New Roman"/>
      <w:sz w:val="22"/>
      <w:lang w:eastAsia="pl-PL"/>
    </w:rPr>
  </w:style>
  <w:style w:type="paragraph" w:customStyle="1" w:styleId="SHIndenttext">
    <w:name w:val="SH Indent text"/>
    <w:basedOn w:val="Normalny"/>
    <w:rsid w:val="002D0ED1"/>
    <w:pPr>
      <w:overflowPunct/>
      <w:autoSpaceDE/>
      <w:autoSpaceDN/>
      <w:adjustRightInd/>
      <w:spacing w:before="120" w:line="240" w:lineRule="auto"/>
      <w:ind w:firstLine="567"/>
      <w:textAlignment w:val="auto"/>
    </w:pPr>
    <w:rPr>
      <w:rFonts w:ascii="Times New Roman" w:hAnsi="Times New Roman"/>
      <w:sz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749162">
      <w:bodyDiv w:val="1"/>
      <w:marLeft w:val="0"/>
      <w:marRight w:val="0"/>
      <w:marTop w:val="0"/>
      <w:marBottom w:val="0"/>
      <w:divBdr>
        <w:top w:val="none" w:sz="0" w:space="0" w:color="auto"/>
        <w:left w:val="none" w:sz="0" w:space="0" w:color="auto"/>
        <w:bottom w:val="none" w:sz="0" w:space="0" w:color="auto"/>
        <w:right w:val="none" w:sz="0" w:space="0" w:color="auto"/>
      </w:divBdr>
    </w:div>
    <w:div w:id="812798331">
      <w:bodyDiv w:val="1"/>
      <w:marLeft w:val="0"/>
      <w:marRight w:val="0"/>
      <w:marTop w:val="0"/>
      <w:marBottom w:val="0"/>
      <w:divBdr>
        <w:top w:val="none" w:sz="0" w:space="0" w:color="auto"/>
        <w:left w:val="none" w:sz="0" w:space="0" w:color="auto"/>
        <w:bottom w:val="none" w:sz="0" w:space="0" w:color="auto"/>
        <w:right w:val="none" w:sz="0" w:space="0" w:color="auto"/>
      </w:divBdr>
    </w:div>
    <w:div w:id="1157040749">
      <w:bodyDiv w:val="1"/>
      <w:marLeft w:val="0"/>
      <w:marRight w:val="0"/>
      <w:marTop w:val="0"/>
      <w:marBottom w:val="0"/>
      <w:divBdr>
        <w:top w:val="none" w:sz="0" w:space="0" w:color="auto"/>
        <w:left w:val="none" w:sz="0" w:space="0" w:color="auto"/>
        <w:bottom w:val="none" w:sz="0" w:space="0" w:color="auto"/>
        <w:right w:val="none" w:sz="0" w:space="0" w:color="auto"/>
      </w:divBdr>
    </w:div>
    <w:div w:id="1839491199">
      <w:bodyDiv w:val="1"/>
      <w:marLeft w:val="0"/>
      <w:marRight w:val="0"/>
      <w:marTop w:val="0"/>
      <w:marBottom w:val="0"/>
      <w:divBdr>
        <w:top w:val="none" w:sz="0" w:space="0" w:color="auto"/>
        <w:left w:val="none" w:sz="0" w:space="0" w:color="auto"/>
        <w:bottom w:val="none" w:sz="0" w:space="0" w:color="auto"/>
        <w:right w:val="none" w:sz="0" w:space="0" w:color="auto"/>
      </w:divBdr>
    </w:div>
    <w:div w:id="199933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gf.edu.pl/home.php"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kgw.pan.pl/" TargetMode="External"/><Relationship Id="rId4" Type="http://schemas.openxmlformats.org/officeDocument/2006/relationships/settings" Target="settings.xml"/><Relationship Id="rId9" Type="http://schemas.openxmlformats.org/officeDocument/2006/relationships/hyperlink" Target="http://www.iahr.net/site/index.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alinow\Downloads\T1-book.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C282A-05C6-4A2F-BA4E-FA6C5B14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1</TotalTime>
  <Pages>4</Pages>
  <Words>1041</Words>
  <Characters>5937</Characters>
  <Application>Microsoft Office Word</Application>
  <DocSecurity>0</DocSecurity>
  <Lines>49</Lines>
  <Paragraphs>13</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6965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dc:creator>
  <cp:lastModifiedBy>Monika Kalinowska</cp:lastModifiedBy>
  <cp:revision>2</cp:revision>
  <cp:lastPrinted>2016-09-28T12:46:00Z</cp:lastPrinted>
  <dcterms:created xsi:type="dcterms:W3CDTF">2016-09-28T12:52:00Z</dcterms:created>
  <dcterms:modified xsi:type="dcterms:W3CDTF">2016-09-28T12:52:00Z</dcterms:modified>
</cp:coreProperties>
</file>